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698" w:rsidRDefault="00922BC0" w:rsidP="00623698">
      <w:pPr>
        <w:rPr>
          <w:rFonts w:ascii="Arial" w:hAnsi="Arial" w:cs="Arial"/>
          <w:b/>
          <w:bCs/>
          <w:color w:val="808080"/>
          <w:sz w:val="26"/>
          <w:szCs w:val="26"/>
        </w:rPr>
      </w:pPr>
      <w:r>
        <w:rPr>
          <w:rFonts w:ascii="Arial" w:hAnsi="Arial" w:cs="Arial"/>
          <w:b/>
          <w:bCs/>
          <w:color w:val="808080"/>
          <w:sz w:val="26"/>
          <w:szCs w:val="26"/>
        </w:rPr>
        <w:t>SPÔSOB VÝPOČTU CENY</w:t>
      </w:r>
    </w:p>
    <w:p w:rsidR="00623698" w:rsidRPr="00B378E3" w:rsidRDefault="00623698" w:rsidP="00851A9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378E3">
        <w:rPr>
          <w:rFonts w:ascii="Arial" w:hAnsi="Arial" w:cs="Arial"/>
          <w:b/>
          <w:sz w:val="20"/>
          <w:szCs w:val="20"/>
        </w:rPr>
        <w:t xml:space="preserve">Výpočet </w:t>
      </w:r>
      <w:r w:rsidR="008C0D80" w:rsidRPr="00B378E3">
        <w:rPr>
          <w:rFonts w:ascii="Arial" w:hAnsi="Arial" w:cs="Arial"/>
          <w:b/>
          <w:sz w:val="20"/>
          <w:szCs w:val="20"/>
        </w:rPr>
        <w:t xml:space="preserve">jednotkovej </w:t>
      </w:r>
      <w:r w:rsidRPr="00B378E3">
        <w:rPr>
          <w:rFonts w:ascii="Arial" w:hAnsi="Arial" w:cs="Arial"/>
          <w:b/>
          <w:sz w:val="20"/>
          <w:szCs w:val="20"/>
        </w:rPr>
        <w:t>ceny</w:t>
      </w:r>
      <w:r w:rsidR="00851A97">
        <w:rPr>
          <w:rFonts w:ascii="Arial" w:hAnsi="Arial" w:cs="Arial"/>
          <w:b/>
          <w:sz w:val="20"/>
          <w:szCs w:val="20"/>
        </w:rPr>
        <w:t xml:space="preserve"> (ďalej len „JC“)</w:t>
      </w:r>
      <w:r w:rsidR="00E34B21" w:rsidRPr="00B378E3">
        <w:rPr>
          <w:rFonts w:ascii="Arial" w:hAnsi="Arial" w:cs="Arial"/>
          <w:b/>
          <w:sz w:val="20"/>
          <w:szCs w:val="20"/>
        </w:rPr>
        <w:t xml:space="preserve"> a celkovej </w:t>
      </w:r>
      <w:r w:rsidR="005A6CF2" w:rsidRPr="00B378E3">
        <w:rPr>
          <w:rFonts w:ascii="Arial" w:hAnsi="Arial" w:cs="Arial"/>
          <w:b/>
          <w:sz w:val="20"/>
          <w:szCs w:val="20"/>
        </w:rPr>
        <w:t>maximálnej</w:t>
      </w:r>
      <w:r w:rsidR="00E34B21" w:rsidRPr="00B378E3">
        <w:rPr>
          <w:rFonts w:ascii="Arial" w:hAnsi="Arial" w:cs="Arial"/>
          <w:b/>
          <w:sz w:val="20"/>
          <w:szCs w:val="20"/>
        </w:rPr>
        <w:t xml:space="preserve"> zmluvnej ceny </w:t>
      </w:r>
      <w:r w:rsidRPr="00B378E3">
        <w:rPr>
          <w:rFonts w:ascii="Arial" w:hAnsi="Arial" w:cs="Arial"/>
          <w:b/>
          <w:sz w:val="20"/>
          <w:szCs w:val="20"/>
        </w:rPr>
        <w:t xml:space="preserve"> predmetu zákazky bude stanovený na základe </w:t>
      </w:r>
      <w:r w:rsidR="00E34B21" w:rsidRPr="00B378E3">
        <w:rPr>
          <w:rFonts w:ascii="Arial" w:hAnsi="Arial" w:cs="Arial"/>
          <w:b/>
          <w:sz w:val="20"/>
          <w:szCs w:val="20"/>
        </w:rPr>
        <w:t>vzorc</w:t>
      </w:r>
      <w:r w:rsidR="005260E5">
        <w:rPr>
          <w:rFonts w:ascii="Arial" w:hAnsi="Arial" w:cs="Arial"/>
          <w:b/>
          <w:sz w:val="20"/>
          <w:szCs w:val="20"/>
        </w:rPr>
        <w:t>a</w:t>
      </w:r>
      <w:r w:rsidRPr="00B378E3">
        <w:rPr>
          <w:rFonts w:ascii="Arial" w:hAnsi="Arial" w:cs="Arial"/>
          <w:b/>
          <w:sz w:val="20"/>
          <w:szCs w:val="20"/>
        </w:rPr>
        <w:t xml:space="preserve"> (</w:t>
      </w:r>
      <w:r w:rsidR="00E34B21" w:rsidRPr="00B378E3">
        <w:rPr>
          <w:rFonts w:ascii="Arial" w:hAnsi="Arial" w:cs="Arial"/>
          <w:b/>
          <w:sz w:val="20"/>
          <w:szCs w:val="20"/>
        </w:rPr>
        <w:t>kalkulácie</w:t>
      </w:r>
      <w:r w:rsidRPr="00B378E3">
        <w:rPr>
          <w:rFonts w:ascii="Arial" w:hAnsi="Arial" w:cs="Arial"/>
          <w:b/>
          <w:sz w:val="20"/>
          <w:szCs w:val="20"/>
        </w:rPr>
        <w:t>), ktor</w:t>
      </w:r>
      <w:r w:rsidR="005A6CF2" w:rsidRPr="00B378E3">
        <w:rPr>
          <w:rFonts w:ascii="Arial" w:hAnsi="Arial" w:cs="Arial"/>
          <w:b/>
          <w:sz w:val="20"/>
          <w:szCs w:val="20"/>
        </w:rPr>
        <w:t>é</w:t>
      </w:r>
      <w:r w:rsidRPr="00B378E3">
        <w:rPr>
          <w:rFonts w:ascii="Arial" w:hAnsi="Arial" w:cs="Arial"/>
          <w:b/>
          <w:sz w:val="20"/>
          <w:szCs w:val="20"/>
        </w:rPr>
        <w:t xml:space="preserve"> zohľadňuj</w:t>
      </w:r>
      <w:r w:rsidR="005A6CF2" w:rsidRPr="00B378E3">
        <w:rPr>
          <w:rFonts w:ascii="Arial" w:hAnsi="Arial" w:cs="Arial"/>
          <w:b/>
          <w:sz w:val="20"/>
          <w:szCs w:val="20"/>
        </w:rPr>
        <w:t>ú</w:t>
      </w:r>
      <w:r w:rsidRPr="00B378E3">
        <w:rPr>
          <w:rFonts w:ascii="Arial" w:hAnsi="Arial" w:cs="Arial"/>
          <w:b/>
          <w:sz w:val="20"/>
          <w:szCs w:val="20"/>
        </w:rPr>
        <w:t xml:space="preserve"> úpravu ceny na základe vývoja cien </w:t>
      </w:r>
      <w:r w:rsidR="000E1E1B" w:rsidRPr="00B378E3">
        <w:rPr>
          <w:rFonts w:ascii="Arial" w:hAnsi="Arial" w:cs="Arial"/>
          <w:b/>
          <w:sz w:val="20"/>
          <w:szCs w:val="20"/>
        </w:rPr>
        <w:t>motorovej nafty.</w:t>
      </w:r>
      <w:r w:rsidR="00C468E2" w:rsidRPr="00B378E3">
        <w:rPr>
          <w:rFonts w:ascii="Arial" w:hAnsi="Arial" w:cs="Arial"/>
          <w:b/>
          <w:sz w:val="20"/>
          <w:szCs w:val="20"/>
        </w:rPr>
        <w:t xml:space="preserve"> Výpočet </w:t>
      </w:r>
      <w:r w:rsidR="008C0D80" w:rsidRPr="00B378E3">
        <w:rPr>
          <w:rFonts w:ascii="Arial" w:hAnsi="Arial" w:cs="Arial"/>
          <w:b/>
          <w:sz w:val="20"/>
          <w:szCs w:val="20"/>
        </w:rPr>
        <w:t>jednotkovej</w:t>
      </w:r>
      <w:r w:rsidR="00C468E2" w:rsidRPr="00B378E3">
        <w:rPr>
          <w:rFonts w:ascii="Arial" w:hAnsi="Arial" w:cs="Arial"/>
          <w:b/>
          <w:sz w:val="20"/>
          <w:szCs w:val="20"/>
        </w:rPr>
        <w:t xml:space="preserve"> ceny bude na základe </w:t>
      </w:r>
      <w:r w:rsidR="00BC56C2" w:rsidRPr="00B378E3">
        <w:rPr>
          <w:rFonts w:ascii="Arial" w:hAnsi="Arial" w:cs="Arial"/>
          <w:b/>
          <w:sz w:val="20"/>
          <w:szCs w:val="20"/>
        </w:rPr>
        <w:t>kotácie PLATTS FOB Rotterdam Barges Diesel.</w:t>
      </w:r>
    </w:p>
    <w:p w:rsidR="00A67C0E" w:rsidRPr="00B378E3" w:rsidRDefault="00A67C0E" w:rsidP="00851A9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D5CBC" w:rsidRPr="007D5CBC" w:rsidRDefault="000E1E1B" w:rsidP="00851A97">
      <w:pPr>
        <w:spacing w:after="0"/>
        <w:jc w:val="both"/>
        <w:rPr>
          <w:rFonts w:ascii="Arial" w:hAnsi="Arial" w:cs="Arial"/>
          <w:sz w:val="20"/>
          <w:szCs w:val="20"/>
          <w:vertAlign w:val="superscript"/>
        </w:rPr>
      </w:pPr>
      <w:r w:rsidRPr="005260E5">
        <w:rPr>
          <w:rFonts w:ascii="Arial" w:hAnsi="Arial" w:cs="Arial"/>
          <w:b/>
          <w:sz w:val="20"/>
          <w:szCs w:val="20"/>
        </w:rPr>
        <w:t xml:space="preserve">Celková </w:t>
      </w:r>
      <w:r w:rsidR="00363301" w:rsidRPr="005260E5">
        <w:rPr>
          <w:rFonts w:ascii="Arial" w:hAnsi="Arial" w:cs="Arial"/>
          <w:b/>
          <w:sz w:val="20"/>
          <w:szCs w:val="20"/>
        </w:rPr>
        <w:t>maximálna</w:t>
      </w:r>
      <w:r w:rsidRPr="005260E5">
        <w:rPr>
          <w:rFonts w:ascii="Arial" w:hAnsi="Arial" w:cs="Arial"/>
          <w:b/>
          <w:sz w:val="20"/>
          <w:szCs w:val="20"/>
        </w:rPr>
        <w:t xml:space="preserve"> cena</w:t>
      </w:r>
      <w:r w:rsidRPr="00B378E3">
        <w:rPr>
          <w:rFonts w:ascii="Arial" w:hAnsi="Arial" w:cs="Arial"/>
          <w:sz w:val="20"/>
          <w:szCs w:val="20"/>
        </w:rPr>
        <w:t xml:space="preserve"> bude vypočítaná ako </w:t>
      </w:r>
      <w:r w:rsidR="005260E5">
        <w:rPr>
          <w:rFonts w:ascii="Arial" w:hAnsi="Arial" w:cs="Arial"/>
          <w:sz w:val="20"/>
          <w:szCs w:val="20"/>
        </w:rPr>
        <w:t xml:space="preserve">súčin </w:t>
      </w:r>
      <w:r w:rsidR="00851A97">
        <w:rPr>
          <w:rFonts w:ascii="Arial" w:hAnsi="Arial" w:cs="Arial"/>
          <w:sz w:val="20"/>
          <w:szCs w:val="20"/>
        </w:rPr>
        <w:t>JC</w:t>
      </w:r>
      <w:r w:rsidR="005260E5">
        <w:rPr>
          <w:rFonts w:ascii="Arial" w:hAnsi="Arial" w:cs="Arial"/>
          <w:sz w:val="20"/>
          <w:szCs w:val="20"/>
        </w:rPr>
        <w:t xml:space="preserve"> za 1000 litrov</w:t>
      </w:r>
      <w:r w:rsidR="000253C0" w:rsidRPr="00B378E3">
        <w:rPr>
          <w:rFonts w:ascii="Arial" w:hAnsi="Arial" w:cs="Arial"/>
          <w:sz w:val="20"/>
          <w:szCs w:val="20"/>
        </w:rPr>
        <w:t xml:space="preserve"> </w:t>
      </w:r>
      <w:r w:rsidRPr="00B378E3">
        <w:rPr>
          <w:rFonts w:ascii="Arial" w:hAnsi="Arial" w:cs="Arial"/>
          <w:sz w:val="20"/>
          <w:szCs w:val="20"/>
        </w:rPr>
        <w:t>vyjadrená v EUR bez DPH</w:t>
      </w:r>
      <w:r w:rsidR="005260E5">
        <w:rPr>
          <w:rFonts w:ascii="Arial" w:hAnsi="Arial" w:cs="Arial"/>
          <w:sz w:val="20"/>
          <w:szCs w:val="20"/>
        </w:rPr>
        <w:t xml:space="preserve"> so spotrebnou daňou a predpokladaného množstva predmetu zákazky</w:t>
      </w:r>
      <w:r w:rsidR="00F06936">
        <w:rPr>
          <w:rFonts w:ascii="Arial" w:hAnsi="Arial" w:cs="Arial"/>
          <w:sz w:val="20"/>
          <w:szCs w:val="20"/>
        </w:rPr>
        <w:t>.</w:t>
      </w:r>
    </w:p>
    <w:p w:rsidR="005A6CF2" w:rsidRDefault="005A6CF2" w:rsidP="00851A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0F33" w:rsidRPr="00B378E3" w:rsidRDefault="00180F33" w:rsidP="00851A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63301" w:rsidRPr="00B378E3" w:rsidRDefault="003D6A88" w:rsidP="00851A9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Finálny v</w:t>
      </w:r>
      <w:r w:rsidR="00363301" w:rsidRPr="00B378E3">
        <w:rPr>
          <w:rFonts w:ascii="Arial" w:hAnsi="Arial" w:cs="Arial"/>
          <w:b/>
          <w:sz w:val="20"/>
          <w:szCs w:val="20"/>
        </w:rPr>
        <w:t>zor</w:t>
      </w:r>
      <w:r w:rsidR="005260E5">
        <w:rPr>
          <w:rFonts w:ascii="Arial" w:hAnsi="Arial" w:cs="Arial"/>
          <w:b/>
          <w:sz w:val="20"/>
          <w:szCs w:val="20"/>
        </w:rPr>
        <w:t>ec</w:t>
      </w:r>
      <w:r w:rsidR="00363301" w:rsidRPr="00B378E3">
        <w:rPr>
          <w:rFonts w:ascii="Arial" w:hAnsi="Arial" w:cs="Arial"/>
          <w:b/>
          <w:sz w:val="20"/>
          <w:szCs w:val="20"/>
        </w:rPr>
        <w:t xml:space="preserve"> pre výpočet </w:t>
      </w:r>
      <w:r w:rsidR="005A6CF2" w:rsidRPr="00B378E3">
        <w:rPr>
          <w:rFonts w:ascii="Arial" w:hAnsi="Arial" w:cs="Arial"/>
          <w:b/>
          <w:sz w:val="20"/>
          <w:szCs w:val="20"/>
        </w:rPr>
        <w:t xml:space="preserve">jednotkovej ceny </w:t>
      </w:r>
      <w:r w:rsidR="00363301" w:rsidRPr="00B378E3">
        <w:rPr>
          <w:rFonts w:ascii="Arial" w:hAnsi="Arial" w:cs="Arial"/>
          <w:b/>
          <w:sz w:val="20"/>
          <w:szCs w:val="20"/>
        </w:rPr>
        <w:t>bud</w:t>
      </w:r>
      <w:r w:rsidR="005260E5">
        <w:rPr>
          <w:rFonts w:ascii="Arial" w:hAnsi="Arial" w:cs="Arial"/>
          <w:b/>
          <w:sz w:val="20"/>
          <w:szCs w:val="20"/>
        </w:rPr>
        <w:t xml:space="preserve">e </w:t>
      </w:r>
      <w:r w:rsidR="00363301" w:rsidRPr="00B378E3">
        <w:rPr>
          <w:rFonts w:ascii="Arial" w:hAnsi="Arial" w:cs="Arial"/>
          <w:b/>
          <w:sz w:val="20"/>
          <w:szCs w:val="20"/>
        </w:rPr>
        <w:t>stanoven</w:t>
      </w:r>
      <w:r w:rsidR="005260E5">
        <w:rPr>
          <w:rFonts w:ascii="Arial" w:hAnsi="Arial" w:cs="Arial"/>
          <w:b/>
          <w:sz w:val="20"/>
          <w:szCs w:val="20"/>
        </w:rPr>
        <w:t>ý</w:t>
      </w:r>
      <w:r w:rsidR="00363301" w:rsidRPr="00B378E3">
        <w:rPr>
          <w:rFonts w:ascii="Arial" w:hAnsi="Arial" w:cs="Arial"/>
          <w:b/>
          <w:sz w:val="20"/>
          <w:szCs w:val="20"/>
        </w:rPr>
        <w:t xml:space="preserve"> na základe výsledkov rokovan</w:t>
      </w:r>
      <w:r>
        <w:rPr>
          <w:rFonts w:ascii="Arial" w:hAnsi="Arial" w:cs="Arial"/>
          <w:b/>
          <w:sz w:val="20"/>
          <w:szCs w:val="20"/>
        </w:rPr>
        <w:t>ia/n</w:t>
      </w:r>
      <w:r w:rsidR="00363301" w:rsidRPr="00B378E3">
        <w:rPr>
          <w:rFonts w:ascii="Arial" w:hAnsi="Arial" w:cs="Arial"/>
          <w:b/>
          <w:sz w:val="20"/>
          <w:szCs w:val="20"/>
        </w:rPr>
        <w:t>í pre všetkých uchádzačov rovnako.</w:t>
      </w:r>
    </w:p>
    <w:p w:rsidR="00623698" w:rsidRPr="00B378E3" w:rsidRDefault="00623698" w:rsidP="00AE2C5F">
      <w:pPr>
        <w:spacing w:after="0"/>
        <w:rPr>
          <w:rFonts w:ascii="Arial" w:hAnsi="Arial" w:cs="Arial"/>
          <w:b/>
          <w:sz w:val="20"/>
          <w:szCs w:val="20"/>
        </w:rPr>
      </w:pPr>
    </w:p>
    <w:p w:rsidR="000253C0" w:rsidRPr="00F14101" w:rsidRDefault="00363301" w:rsidP="00AE2C5F">
      <w:pPr>
        <w:spacing w:after="0"/>
        <w:rPr>
          <w:rFonts w:ascii="Arial" w:hAnsi="Arial" w:cs="Arial"/>
          <w:b/>
          <w:sz w:val="20"/>
          <w:szCs w:val="20"/>
          <w:highlight w:val="yellow"/>
          <w:u w:val="single"/>
        </w:rPr>
      </w:pPr>
      <w:r w:rsidRPr="00B378E3">
        <w:rPr>
          <w:rFonts w:ascii="Arial" w:hAnsi="Arial" w:cs="Arial"/>
          <w:b/>
          <w:sz w:val="20"/>
          <w:szCs w:val="20"/>
          <w:highlight w:val="yellow"/>
          <w:u w:val="single"/>
        </w:rPr>
        <w:t>Návrh v</w:t>
      </w:r>
      <w:r w:rsidR="000253C0" w:rsidRPr="00B378E3">
        <w:rPr>
          <w:rFonts w:ascii="Arial" w:hAnsi="Arial" w:cs="Arial"/>
          <w:b/>
          <w:sz w:val="20"/>
          <w:szCs w:val="20"/>
          <w:highlight w:val="yellow"/>
          <w:u w:val="single"/>
        </w:rPr>
        <w:t>zor</w:t>
      </w:r>
      <w:r w:rsidR="005A6CF2" w:rsidRPr="00B378E3">
        <w:rPr>
          <w:rFonts w:ascii="Arial" w:hAnsi="Arial" w:cs="Arial"/>
          <w:b/>
          <w:sz w:val="20"/>
          <w:szCs w:val="20"/>
          <w:highlight w:val="yellow"/>
          <w:u w:val="single"/>
        </w:rPr>
        <w:t>ca</w:t>
      </w:r>
      <w:r w:rsidR="000253C0" w:rsidRPr="00B378E3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pre stanovenie </w:t>
      </w:r>
      <w:r w:rsidR="00A67C0E" w:rsidRPr="00B378E3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jednotkovej </w:t>
      </w:r>
      <w:r w:rsidR="000253C0" w:rsidRPr="00B378E3">
        <w:rPr>
          <w:rFonts w:ascii="Arial" w:hAnsi="Arial" w:cs="Arial"/>
          <w:b/>
          <w:sz w:val="20"/>
          <w:szCs w:val="20"/>
          <w:highlight w:val="yellow"/>
          <w:u w:val="single"/>
        </w:rPr>
        <w:t>ceny</w:t>
      </w:r>
      <w:r w:rsidR="00211C8E" w:rsidRPr="00211C8E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: </w:t>
      </w:r>
      <w:r w:rsidR="000253C0" w:rsidRPr="00211C8E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</w:t>
      </w:r>
      <w:r w:rsidR="00F14101" w:rsidRPr="00F14101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Motorová nafta </w:t>
      </w:r>
      <w:r w:rsidR="00922BC0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arktická </w:t>
      </w:r>
      <w:r w:rsidR="00F14101" w:rsidRPr="00F14101">
        <w:rPr>
          <w:rFonts w:ascii="Arial" w:hAnsi="Arial" w:cs="Arial"/>
          <w:b/>
          <w:sz w:val="20"/>
          <w:szCs w:val="20"/>
          <w:highlight w:val="yellow"/>
          <w:u w:val="single"/>
        </w:rPr>
        <w:t>do dieselgenerátorov</w:t>
      </w:r>
      <w:r w:rsidR="000253C0" w:rsidRPr="00B378E3">
        <w:rPr>
          <w:rFonts w:ascii="Arial" w:hAnsi="Arial" w:cs="Arial"/>
          <w:b/>
          <w:sz w:val="20"/>
          <w:szCs w:val="20"/>
          <w:highlight w:val="yellow"/>
          <w:u w:val="single"/>
        </w:rPr>
        <w:t>:</w:t>
      </w:r>
    </w:p>
    <w:p w:rsidR="00211C8E" w:rsidRPr="00B378E3" w:rsidRDefault="00211C8E" w:rsidP="00AE2C5F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B378E3" w:rsidRDefault="00A673FB" w:rsidP="00B378E3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J</w:t>
      </w:r>
      <w:r w:rsidR="00B378E3" w:rsidRPr="00B378E3">
        <w:rPr>
          <w:rFonts w:ascii="Verdana" w:hAnsi="Verdana"/>
          <w:b/>
          <w:bCs/>
          <w:sz w:val="20"/>
          <w:szCs w:val="20"/>
        </w:rPr>
        <w:t xml:space="preserve">C = </w:t>
      </w:r>
      <w:r w:rsidR="00B378E3" w:rsidRPr="00851A97">
        <w:rPr>
          <w:rFonts w:ascii="Verdana" w:hAnsi="Verdana"/>
          <w:b/>
          <w:bCs/>
          <w:color w:val="FF0000"/>
          <w:sz w:val="20"/>
          <w:szCs w:val="20"/>
        </w:rPr>
        <w:t>Platt’s</w:t>
      </w:r>
      <w:r w:rsidR="00B378E3" w:rsidRPr="00B378E3">
        <w:rPr>
          <w:rFonts w:ascii="Verdana" w:hAnsi="Verdana"/>
          <w:b/>
          <w:bCs/>
          <w:sz w:val="20"/>
          <w:szCs w:val="20"/>
        </w:rPr>
        <w:t>*</w:t>
      </w:r>
      <w:r w:rsidR="00D45083">
        <w:rPr>
          <w:rFonts w:ascii="Verdana" w:hAnsi="Verdana"/>
          <w:b/>
          <w:bCs/>
          <w:sz w:val="20"/>
          <w:szCs w:val="20"/>
        </w:rPr>
        <w:t>HUSTOTA (</w:t>
      </w:r>
      <w:r w:rsidR="00B378E3" w:rsidRPr="00B378E3">
        <w:rPr>
          <w:rFonts w:ascii="Verdana" w:hAnsi="Verdana"/>
          <w:b/>
          <w:bCs/>
          <w:sz w:val="20"/>
          <w:szCs w:val="20"/>
        </w:rPr>
        <w:t>0,845</w:t>
      </w:r>
      <w:r w:rsidR="00D45083">
        <w:rPr>
          <w:rFonts w:ascii="Verdana" w:hAnsi="Verdana"/>
          <w:b/>
          <w:bCs/>
          <w:sz w:val="20"/>
          <w:szCs w:val="20"/>
        </w:rPr>
        <w:t>)</w:t>
      </w:r>
      <w:r w:rsidR="00B378E3" w:rsidRPr="00B378E3">
        <w:rPr>
          <w:rFonts w:ascii="Verdana" w:hAnsi="Verdana"/>
          <w:b/>
          <w:bCs/>
          <w:sz w:val="20"/>
          <w:szCs w:val="20"/>
        </w:rPr>
        <w:t xml:space="preserve"> + </w:t>
      </w:r>
      <w:r w:rsidR="005260E5">
        <w:rPr>
          <w:rFonts w:ascii="Verdana" w:hAnsi="Verdana"/>
          <w:b/>
          <w:bCs/>
          <w:sz w:val="20"/>
          <w:szCs w:val="20"/>
        </w:rPr>
        <w:t>NPBP</w:t>
      </w:r>
      <w:r w:rsidR="00D45083">
        <w:rPr>
          <w:rFonts w:ascii="Verdana" w:hAnsi="Verdana"/>
          <w:b/>
          <w:bCs/>
          <w:sz w:val="20"/>
          <w:szCs w:val="20"/>
        </w:rPr>
        <w:t>(0,92105)</w:t>
      </w:r>
      <w:r w:rsidR="005260E5">
        <w:rPr>
          <w:rFonts w:ascii="Verdana" w:hAnsi="Verdana"/>
          <w:b/>
          <w:bCs/>
          <w:sz w:val="20"/>
          <w:szCs w:val="20"/>
        </w:rPr>
        <w:t xml:space="preserve"> + </w:t>
      </w:r>
      <w:r w:rsidR="00B378E3" w:rsidRPr="00B378E3">
        <w:rPr>
          <w:rFonts w:ascii="Verdana" w:hAnsi="Verdana"/>
          <w:b/>
          <w:bCs/>
          <w:sz w:val="20"/>
          <w:szCs w:val="20"/>
        </w:rPr>
        <w:t>SHR</w:t>
      </w:r>
      <w:r w:rsidR="00D45083">
        <w:rPr>
          <w:rFonts w:ascii="Verdana" w:hAnsi="Verdana"/>
          <w:b/>
          <w:bCs/>
          <w:sz w:val="20"/>
          <w:szCs w:val="20"/>
        </w:rPr>
        <w:t>(29,65)</w:t>
      </w:r>
      <w:r w:rsidR="00B378E3" w:rsidRPr="00B378E3">
        <w:rPr>
          <w:rFonts w:ascii="Verdana" w:hAnsi="Verdana"/>
          <w:b/>
          <w:bCs/>
          <w:sz w:val="20"/>
          <w:szCs w:val="20"/>
        </w:rPr>
        <w:t xml:space="preserve"> +</w:t>
      </w:r>
      <w:r w:rsidR="00B378E3" w:rsidRPr="00B378E3">
        <w:rPr>
          <w:rFonts w:ascii="Verdana" w:hAnsi="Verdana"/>
          <w:b/>
          <w:bCs/>
          <w:color w:val="000000"/>
          <w:sz w:val="20"/>
          <w:szCs w:val="20"/>
        </w:rPr>
        <w:t xml:space="preserve"> BIOP</w:t>
      </w:r>
      <w:r w:rsidR="00D45083">
        <w:rPr>
          <w:rFonts w:ascii="Verdana" w:hAnsi="Verdana"/>
          <w:b/>
          <w:bCs/>
          <w:color w:val="000000"/>
          <w:sz w:val="20"/>
          <w:szCs w:val="20"/>
        </w:rPr>
        <w:t>(138,00)</w:t>
      </w:r>
      <w:r w:rsidR="00B378E3" w:rsidRPr="00B378E3">
        <w:rPr>
          <w:rFonts w:ascii="Verdana" w:hAnsi="Verdana"/>
          <w:b/>
          <w:bCs/>
          <w:color w:val="000000"/>
          <w:sz w:val="20"/>
          <w:szCs w:val="20"/>
        </w:rPr>
        <w:t>+GHG</w:t>
      </w:r>
      <w:r w:rsidR="00D45083">
        <w:rPr>
          <w:rFonts w:ascii="Verdana" w:hAnsi="Verdana"/>
          <w:b/>
          <w:bCs/>
          <w:color w:val="000000"/>
          <w:sz w:val="20"/>
          <w:szCs w:val="20"/>
        </w:rPr>
        <w:t>(3,63)</w:t>
      </w:r>
      <w:r w:rsidR="00B378E3" w:rsidRPr="00B378E3">
        <w:rPr>
          <w:rFonts w:ascii="Verdana" w:hAnsi="Verdana"/>
          <w:b/>
          <w:bCs/>
          <w:color w:val="000000"/>
          <w:sz w:val="20"/>
          <w:szCs w:val="20"/>
        </w:rPr>
        <w:t>+ENERGK</w:t>
      </w:r>
      <w:r w:rsidR="00D45083">
        <w:rPr>
          <w:rFonts w:ascii="Verdana" w:hAnsi="Verdana"/>
          <w:b/>
          <w:bCs/>
          <w:color w:val="000000"/>
          <w:sz w:val="20"/>
          <w:szCs w:val="20"/>
        </w:rPr>
        <w:t>(</w:t>
      </w:r>
      <w:r w:rsidR="00851A97">
        <w:rPr>
          <w:rFonts w:ascii="Verdana" w:hAnsi="Verdana"/>
          <w:b/>
          <w:bCs/>
          <w:color w:val="000000"/>
          <w:sz w:val="20"/>
          <w:szCs w:val="20"/>
        </w:rPr>
        <w:t>15,52)</w:t>
      </w:r>
      <w:r w:rsidR="00B378E3" w:rsidRPr="00B378E3">
        <w:rPr>
          <w:rFonts w:ascii="Verdana" w:hAnsi="Verdana"/>
          <w:b/>
          <w:bCs/>
          <w:color w:val="000000"/>
          <w:sz w:val="20"/>
          <w:szCs w:val="20"/>
        </w:rPr>
        <w:t>+</w:t>
      </w:r>
      <w:r w:rsidR="00B378E3" w:rsidRPr="00B378E3">
        <w:rPr>
          <w:rFonts w:ascii="Verdana" w:hAnsi="Verdana"/>
          <w:b/>
          <w:bCs/>
          <w:sz w:val="20"/>
          <w:szCs w:val="20"/>
        </w:rPr>
        <w:t xml:space="preserve"> SpD</w:t>
      </w:r>
      <w:r w:rsidR="00851A97">
        <w:rPr>
          <w:rFonts w:ascii="Verdana" w:hAnsi="Verdana"/>
          <w:b/>
          <w:bCs/>
          <w:sz w:val="20"/>
          <w:szCs w:val="20"/>
        </w:rPr>
        <w:t>(368,00)</w:t>
      </w:r>
      <w:r w:rsidR="00B378E3" w:rsidRPr="00B378E3">
        <w:rPr>
          <w:rFonts w:ascii="Verdana" w:hAnsi="Verdana"/>
          <w:b/>
          <w:bCs/>
          <w:sz w:val="20"/>
          <w:szCs w:val="20"/>
        </w:rPr>
        <w:t xml:space="preserve">+ </w:t>
      </w:r>
      <w:r w:rsidR="00B378E3" w:rsidRPr="00851A97">
        <w:rPr>
          <w:rFonts w:ascii="Verdana" w:hAnsi="Verdana"/>
          <w:b/>
          <w:bCs/>
          <w:color w:val="FF0000"/>
          <w:sz w:val="20"/>
          <w:szCs w:val="20"/>
        </w:rPr>
        <w:t xml:space="preserve">NÁKLADY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83"/>
        <w:gridCol w:w="1250"/>
        <w:gridCol w:w="6939"/>
      </w:tblGrid>
      <w:tr w:rsidR="00D45083" w:rsidTr="00D45083">
        <w:tc>
          <w:tcPr>
            <w:tcW w:w="1384" w:type="dxa"/>
          </w:tcPr>
          <w:p w:rsidR="00D45083" w:rsidRDefault="00D45083" w:rsidP="00B378E3">
            <w:pPr>
              <w:rPr>
                <w:rFonts w:ascii="Verdana" w:hAnsi="Verdana"/>
                <w:b/>
                <w:bCs/>
                <w:caps/>
                <w:sz w:val="20"/>
                <w:szCs w:val="20"/>
                <w:u w:val="single"/>
              </w:rPr>
            </w:pPr>
            <w:r w:rsidRPr="00B378E3">
              <w:rPr>
                <w:rFonts w:ascii="Verdana" w:hAnsi="Verdana"/>
                <w:b/>
                <w:bCs/>
                <w:sz w:val="20"/>
                <w:szCs w:val="20"/>
              </w:rPr>
              <w:t>Platt’s</w:t>
            </w:r>
          </w:p>
        </w:tc>
        <w:tc>
          <w:tcPr>
            <w:tcW w:w="1134" w:type="dxa"/>
          </w:tcPr>
          <w:p w:rsidR="00D45083" w:rsidRDefault="00D45083" w:rsidP="00B378E3">
            <w:pPr>
              <w:rPr>
                <w:rFonts w:ascii="Verdana" w:hAnsi="Verdana"/>
                <w:b/>
                <w:bCs/>
                <w:caps/>
                <w:sz w:val="20"/>
                <w:szCs w:val="20"/>
                <w:u w:val="single"/>
              </w:rPr>
            </w:pPr>
          </w:p>
        </w:tc>
        <w:tc>
          <w:tcPr>
            <w:tcW w:w="6978" w:type="dxa"/>
          </w:tcPr>
          <w:p w:rsidR="00D45083" w:rsidRDefault="000E4A96" w:rsidP="000E4A96">
            <w:pPr>
              <w:rPr>
                <w:rFonts w:ascii="Verdana" w:hAnsi="Verdana"/>
                <w:b/>
                <w:bCs/>
                <w:caps/>
                <w:sz w:val="20"/>
                <w:szCs w:val="20"/>
                <w:u w:val="single"/>
              </w:rPr>
            </w:pPr>
            <w:r w:rsidRPr="000E4A96">
              <w:rPr>
                <w:rFonts w:ascii="Arial" w:hAnsi="Arial" w:cs="Arial"/>
                <w:sz w:val="20"/>
                <w:szCs w:val="20"/>
              </w:rPr>
              <w:t>FOB Rotterdam Barges Diesel 10ppm aritmetický priemer aktuálneho mesiaca (EUR/t)</w:t>
            </w:r>
          </w:p>
        </w:tc>
      </w:tr>
      <w:tr w:rsidR="00D45083" w:rsidTr="00D45083">
        <w:tc>
          <w:tcPr>
            <w:tcW w:w="1384" w:type="dxa"/>
          </w:tcPr>
          <w:p w:rsidR="00D45083" w:rsidRPr="00D45083" w:rsidRDefault="00D45083" w:rsidP="00B378E3">
            <w:pPr>
              <w:rPr>
                <w:rFonts w:ascii="Verdana" w:hAnsi="Verdana"/>
                <w:b/>
                <w:bCs/>
                <w:caps/>
                <w:sz w:val="20"/>
                <w:szCs w:val="20"/>
                <w:u w:val="single"/>
              </w:rPr>
            </w:pPr>
            <w:r w:rsidRPr="00D45083">
              <w:rPr>
                <w:rFonts w:ascii="Arial" w:hAnsi="Arial" w:cs="Arial"/>
                <w:b/>
                <w:sz w:val="20"/>
                <w:szCs w:val="20"/>
              </w:rPr>
              <w:t>HUSTOTA</w:t>
            </w:r>
          </w:p>
        </w:tc>
        <w:tc>
          <w:tcPr>
            <w:tcW w:w="1134" w:type="dxa"/>
          </w:tcPr>
          <w:p w:rsidR="00D45083" w:rsidRDefault="00D45083" w:rsidP="00D45083">
            <w:pPr>
              <w:jc w:val="right"/>
              <w:rPr>
                <w:rFonts w:ascii="Verdana" w:hAnsi="Verdana"/>
                <w:b/>
                <w:bCs/>
                <w:cap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0,845</w:t>
            </w:r>
          </w:p>
        </w:tc>
        <w:tc>
          <w:tcPr>
            <w:tcW w:w="6978" w:type="dxa"/>
          </w:tcPr>
          <w:p w:rsidR="00D45083" w:rsidRDefault="00D45083" w:rsidP="000E4A96">
            <w:pPr>
              <w:rPr>
                <w:rFonts w:ascii="Verdana" w:hAnsi="Verdana"/>
                <w:b/>
                <w:bCs/>
                <w:caps/>
                <w:sz w:val="20"/>
                <w:szCs w:val="20"/>
                <w:u w:val="single"/>
              </w:rPr>
            </w:pPr>
            <w:r w:rsidRPr="007E73E2">
              <w:rPr>
                <w:rFonts w:ascii="Arial" w:hAnsi="Arial" w:cs="Arial"/>
                <w:sz w:val="20"/>
                <w:szCs w:val="20"/>
              </w:rPr>
              <w:t>Referenčná hustota nafty stanovená na hodnotu kg/liter pri 15°C</w:t>
            </w:r>
          </w:p>
        </w:tc>
      </w:tr>
      <w:tr w:rsidR="00D45083" w:rsidTr="00D45083">
        <w:tc>
          <w:tcPr>
            <w:tcW w:w="1384" w:type="dxa"/>
          </w:tcPr>
          <w:p w:rsidR="00D45083" w:rsidRPr="00D45083" w:rsidRDefault="00D45083" w:rsidP="00B378E3">
            <w:pPr>
              <w:rPr>
                <w:rFonts w:ascii="Verdana" w:hAnsi="Verdana"/>
                <w:b/>
                <w:bCs/>
                <w:caps/>
                <w:sz w:val="20"/>
                <w:szCs w:val="20"/>
                <w:u w:val="single"/>
              </w:rPr>
            </w:pPr>
            <w:r w:rsidRPr="00D45083">
              <w:rPr>
                <w:rFonts w:ascii="Arial" w:hAnsi="Arial" w:cs="Arial"/>
                <w:b/>
                <w:sz w:val="20"/>
                <w:szCs w:val="20"/>
              </w:rPr>
              <w:t>NPBP</w:t>
            </w:r>
          </w:p>
        </w:tc>
        <w:tc>
          <w:tcPr>
            <w:tcW w:w="1134" w:type="dxa"/>
          </w:tcPr>
          <w:p w:rsidR="00D45083" w:rsidRDefault="00D45083" w:rsidP="00D45083">
            <w:pPr>
              <w:jc w:val="right"/>
              <w:rPr>
                <w:rFonts w:ascii="Verdana" w:hAnsi="Verdana"/>
                <w:b/>
                <w:bCs/>
                <w:cap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0,92105</w:t>
            </w:r>
          </w:p>
        </w:tc>
        <w:tc>
          <w:tcPr>
            <w:tcW w:w="6978" w:type="dxa"/>
          </w:tcPr>
          <w:p w:rsidR="00D45083" w:rsidRDefault="00D45083" w:rsidP="000E4A96">
            <w:pPr>
              <w:rPr>
                <w:rFonts w:ascii="Verdana" w:hAnsi="Verdana"/>
                <w:b/>
                <w:bCs/>
                <w:caps/>
                <w:sz w:val="20"/>
                <w:szCs w:val="20"/>
                <w:u w:val="single"/>
              </w:rPr>
            </w:pPr>
            <w:r w:rsidRPr="00D45083">
              <w:rPr>
                <w:rFonts w:ascii="Arial" w:hAnsi="Arial" w:cs="Arial"/>
                <w:sz w:val="20"/>
                <w:szCs w:val="20"/>
              </w:rPr>
              <w:t>Neplnenie pokročilého bio paliva EUR/m3</w:t>
            </w:r>
          </w:p>
        </w:tc>
      </w:tr>
      <w:tr w:rsidR="00D45083" w:rsidTr="00D45083">
        <w:tc>
          <w:tcPr>
            <w:tcW w:w="1384" w:type="dxa"/>
          </w:tcPr>
          <w:p w:rsidR="00D45083" w:rsidRPr="00D45083" w:rsidRDefault="00D45083" w:rsidP="00B378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5083">
              <w:rPr>
                <w:rFonts w:ascii="Arial" w:hAnsi="Arial" w:cs="Arial"/>
                <w:b/>
                <w:sz w:val="20"/>
                <w:szCs w:val="20"/>
              </w:rPr>
              <w:t>SHR</w:t>
            </w:r>
          </w:p>
        </w:tc>
        <w:tc>
          <w:tcPr>
            <w:tcW w:w="1134" w:type="dxa"/>
          </w:tcPr>
          <w:p w:rsidR="00D45083" w:rsidRPr="00D45083" w:rsidRDefault="00D45083" w:rsidP="00D450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5083">
              <w:rPr>
                <w:rFonts w:ascii="Arial" w:hAnsi="Arial" w:cs="Arial"/>
                <w:sz w:val="20"/>
                <w:szCs w:val="20"/>
              </w:rPr>
              <w:t>29,65</w:t>
            </w:r>
          </w:p>
        </w:tc>
        <w:tc>
          <w:tcPr>
            <w:tcW w:w="6978" w:type="dxa"/>
          </w:tcPr>
          <w:p w:rsidR="00D45083" w:rsidRPr="00D45083" w:rsidRDefault="00D45083" w:rsidP="000E4A96">
            <w:pPr>
              <w:rPr>
                <w:rFonts w:ascii="Arial" w:hAnsi="Arial" w:cs="Arial"/>
                <w:sz w:val="20"/>
                <w:szCs w:val="20"/>
              </w:rPr>
            </w:pPr>
            <w:r w:rsidRPr="007E73E2">
              <w:rPr>
                <w:rFonts w:ascii="Arial" w:hAnsi="Arial" w:cs="Arial"/>
                <w:sz w:val="20"/>
                <w:szCs w:val="20"/>
              </w:rPr>
              <w:t>Príspevok na štátne hmotné rezervy (EUR/1000L)</w:t>
            </w:r>
          </w:p>
        </w:tc>
      </w:tr>
      <w:tr w:rsidR="00D45083" w:rsidTr="00D45083">
        <w:tc>
          <w:tcPr>
            <w:tcW w:w="1384" w:type="dxa"/>
          </w:tcPr>
          <w:p w:rsidR="00D45083" w:rsidRPr="00D45083" w:rsidRDefault="00D45083" w:rsidP="00B378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5083">
              <w:rPr>
                <w:rFonts w:ascii="Arial" w:hAnsi="Arial" w:cs="Arial"/>
                <w:b/>
                <w:sz w:val="20"/>
                <w:szCs w:val="20"/>
              </w:rPr>
              <w:t>BIOP</w:t>
            </w:r>
          </w:p>
        </w:tc>
        <w:tc>
          <w:tcPr>
            <w:tcW w:w="1134" w:type="dxa"/>
          </w:tcPr>
          <w:p w:rsidR="00D45083" w:rsidRPr="00D45083" w:rsidRDefault="00D45083" w:rsidP="00D450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5083">
              <w:rPr>
                <w:rFonts w:ascii="Arial" w:hAnsi="Arial" w:cs="Arial"/>
                <w:sz w:val="20"/>
                <w:szCs w:val="20"/>
              </w:rPr>
              <w:t>138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6978" w:type="dxa"/>
          </w:tcPr>
          <w:p w:rsidR="00D45083" w:rsidRPr="00D45083" w:rsidRDefault="00D45083" w:rsidP="000E4A96">
            <w:pPr>
              <w:rPr>
                <w:rFonts w:ascii="Arial" w:hAnsi="Arial" w:cs="Arial"/>
                <w:sz w:val="20"/>
                <w:szCs w:val="20"/>
              </w:rPr>
            </w:pPr>
            <w:r w:rsidRPr="007E73E2">
              <w:rPr>
                <w:rFonts w:ascii="Arial" w:hAnsi="Arial" w:cs="Arial"/>
                <w:sz w:val="20"/>
                <w:szCs w:val="20"/>
              </w:rPr>
              <w:t>Zákonom stanovený poplatok za chýbajúcu biozložku (EUR/ 1000L</w:t>
            </w:r>
          </w:p>
        </w:tc>
      </w:tr>
      <w:tr w:rsidR="00D45083" w:rsidTr="00D45083">
        <w:tc>
          <w:tcPr>
            <w:tcW w:w="1384" w:type="dxa"/>
          </w:tcPr>
          <w:p w:rsidR="00D45083" w:rsidRPr="00D45083" w:rsidRDefault="00D45083" w:rsidP="00B378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5083">
              <w:rPr>
                <w:rFonts w:ascii="Arial" w:hAnsi="Arial" w:cs="Arial"/>
                <w:b/>
                <w:sz w:val="20"/>
                <w:szCs w:val="20"/>
              </w:rPr>
              <w:t>GHG</w:t>
            </w:r>
          </w:p>
        </w:tc>
        <w:tc>
          <w:tcPr>
            <w:tcW w:w="1134" w:type="dxa"/>
          </w:tcPr>
          <w:p w:rsidR="00D45083" w:rsidRPr="00D45083" w:rsidRDefault="00D45083" w:rsidP="00D450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5083">
              <w:rPr>
                <w:rFonts w:ascii="Arial" w:hAnsi="Arial" w:cs="Arial"/>
                <w:sz w:val="20"/>
                <w:szCs w:val="20"/>
              </w:rPr>
              <w:t>3,63</w:t>
            </w:r>
          </w:p>
        </w:tc>
        <w:tc>
          <w:tcPr>
            <w:tcW w:w="6978" w:type="dxa"/>
          </w:tcPr>
          <w:p w:rsidR="00D45083" w:rsidRPr="00D45083" w:rsidRDefault="00D45083" w:rsidP="000E4A96">
            <w:pPr>
              <w:rPr>
                <w:rFonts w:ascii="Arial" w:hAnsi="Arial" w:cs="Arial"/>
                <w:sz w:val="20"/>
                <w:szCs w:val="20"/>
              </w:rPr>
            </w:pPr>
            <w:r w:rsidRPr="007E73E2">
              <w:rPr>
                <w:rFonts w:ascii="Arial" w:hAnsi="Arial" w:cs="Arial"/>
                <w:sz w:val="20"/>
                <w:szCs w:val="20"/>
              </w:rPr>
              <w:t>Poplatok za neúsporu emisií skleníkových plynov (EUR/1000L)</w:t>
            </w:r>
          </w:p>
        </w:tc>
      </w:tr>
      <w:tr w:rsidR="00D45083" w:rsidTr="00D45083">
        <w:tc>
          <w:tcPr>
            <w:tcW w:w="1384" w:type="dxa"/>
          </w:tcPr>
          <w:p w:rsidR="00D45083" w:rsidRPr="00D45083" w:rsidRDefault="00D45083" w:rsidP="00B378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5083">
              <w:rPr>
                <w:rFonts w:ascii="Arial" w:hAnsi="Arial" w:cs="Arial"/>
                <w:b/>
                <w:sz w:val="20"/>
                <w:szCs w:val="20"/>
              </w:rPr>
              <w:t>ENRERGK</w:t>
            </w:r>
          </w:p>
        </w:tc>
        <w:tc>
          <w:tcPr>
            <w:tcW w:w="1134" w:type="dxa"/>
          </w:tcPr>
          <w:p w:rsidR="00D45083" w:rsidRPr="00D45083" w:rsidRDefault="00D45083" w:rsidP="00D450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5083">
              <w:rPr>
                <w:rFonts w:ascii="Arial" w:hAnsi="Arial" w:cs="Arial"/>
                <w:sz w:val="20"/>
                <w:szCs w:val="20"/>
              </w:rPr>
              <w:t>15,52</w:t>
            </w:r>
          </w:p>
        </w:tc>
        <w:tc>
          <w:tcPr>
            <w:tcW w:w="6978" w:type="dxa"/>
          </w:tcPr>
          <w:p w:rsidR="00D45083" w:rsidRPr="00D45083" w:rsidRDefault="00D45083" w:rsidP="000E4A96">
            <w:pPr>
              <w:rPr>
                <w:rFonts w:ascii="Arial" w:hAnsi="Arial" w:cs="Arial"/>
                <w:sz w:val="20"/>
                <w:szCs w:val="20"/>
              </w:rPr>
            </w:pPr>
            <w:r w:rsidRPr="007E73E2">
              <w:rPr>
                <w:rFonts w:ascii="Arial" w:hAnsi="Arial" w:cs="Arial"/>
                <w:sz w:val="20"/>
                <w:szCs w:val="20"/>
              </w:rPr>
              <w:t>Poplatok za nesplnenie min. energetického podielu biopaliva (EUR/1000L)</w:t>
            </w:r>
          </w:p>
        </w:tc>
      </w:tr>
      <w:tr w:rsidR="00D45083" w:rsidTr="00D45083">
        <w:tc>
          <w:tcPr>
            <w:tcW w:w="1384" w:type="dxa"/>
          </w:tcPr>
          <w:p w:rsidR="00D45083" w:rsidRPr="00D45083" w:rsidRDefault="00D45083" w:rsidP="00B378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5083">
              <w:rPr>
                <w:rFonts w:ascii="Arial" w:hAnsi="Arial" w:cs="Arial"/>
                <w:b/>
                <w:sz w:val="20"/>
                <w:szCs w:val="20"/>
              </w:rPr>
              <w:t>SpD</w:t>
            </w:r>
          </w:p>
        </w:tc>
        <w:tc>
          <w:tcPr>
            <w:tcW w:w="1134" w:type="dxa"/>
          </w:tcPr>
          <w:p w:rsidR="00D45083" w:rsidRPr="00D45083" w:rsidRDefault="00D45083" w:rsidP="00D450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5083">
              <w:rPr>
                <w:rFonts w:ascii="Arial" w:hAnsi="Arial" w:cs="Arial"/>
                <w:sz w:val="20"/>
                <w:szCs w:val="20"/>
              </w:rPr>
              <w:t>368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6978" w:type="dxa"/>
          </w:tcPr>
          <w:p w:rsidR="00D45083" w:rsidRPr="00D45083" w:rsidRDefault="00D45083" w:rsidP="000E4A96">
            <w:pPr>
              <w:rPr>
                <w:rFonts w:ascii="Arial" w:hAnsi="Arial" w:cs="Arial"/>
                <w:sz w:val="20"/>
                <w:szCs w:val="20"/>
              </w:rPr>
            </w:pPr>
            <w:r w:rsidRPr="00B378E3">
              <w:rPr>
                <w:rFonts w:ascii="Arial" w:hAnsi="Arial" w:cs="Arial"/>
                <w:sz w:val="20"/>
                <w:szCs w:val="20"/>
              </w:rPr>
              <w:t>Spotrebná daň (EUR/1000L) a bez DPH</w:t>
            </w:r>
          </w:p>
        </w:tc>
      </w:tr>
      <w:tr w:rsidR="00D45083" w:rsidTr="00D45083">
        <w:tc>
          <w:tcPr>
            <w:tcW w:w="1384" w:type="dxa"/>
          </w:tcPr>
          <w:p w:rsidR="00D45083" w:rsidRPr="00D45083" w:rsidRDefault="00D45083" w:rsidP="00D4508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45083">
              <w:rPr>
                <w:rFonts w:ascii="Arial" w:hAnsi="Arial" w:cs="Arial"/>
                <w:b/>
                <w:color w:val="FF0000"/>
                <w:sz w:val="20"/>
                <w:szCs w:val="20"/>
              </w:rPr>
              <w:t>NÁKLADY</w:t>
            </w:r>
          </w:p>
        </w:tc>
        <w:tc>
          <w:tcPr>
            <w:tcW w:w="1134" w:type="dxa"/>
          </w:tcPr>
          <w:p w:rsidR="00D45083" w:rsidRPr="00D45083" w:rsidRDefault="00D45083" w:rsidP="00D45083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5083">
              <w:rPr>
                <w:rFonts w:ascii="Arial" w:hAnsi="Arial" w:cs="Arial"/>
                <w:color w:val="FF0000"/>
                <w:sz w:val="20"/>
                <w:szCs w:val="20"/>
              </w:rPr>
              <w:t>EUR/1000L</w:t>
            </w:r>
          </w:p>
        </w:tc>
        <w:tc>
          <w:tcPr>
            <w:tcW w:w="6978" w:type="dxa"/>
          </w:tcPr>
          <w:p w:rsidR="00D45083" w:rsidRPr="00D45083" w:rsidRDefault="00D45083" w:rsidP="000E4A9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5083">
              <w:rPr>
                <w:rFonts w:ascii="Arial" w:hAnsi="Arial" w:cs="Arial"/>
                <w:color w:val="FF0000"/>
                <w:sz w:val="20"/>
                <w:szCs w:val="20"/>
              </w:rPr>
              <w:t xml:space="preserve">(zahŕňa produkčné, operačné a transportné náklady uchádzača, réžia... </w:t>
            </w:r>
          </w:p>
        </w:tc>
      </w:tr>
      <w:tr w:rsidR="00D45083" w:rsidTr="00D45083">
        <w:tc>
          <w:tcPr>
            <w:tcW w:w="1384" w:type="dxa"/>
          </w:tcPr>
          <w:p w:rsidR="00D45083" w:rsidRPr="000E4A96" w:rsidRDefault="00D45083" w:rsidP="00B378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4A96">
              <w:rPr>
                <w:rFonts w:ascii="Arial" w:hAnsi="Arial" w:cs="Arial"/>
                <w:b/>
                <w:sz w:val="20"/>
                <w:szCs w:val="20"/>
              </w:rPr>
              <w:t>JC</w:t>
            </w:r>
          </w:p>
        </w:tc>
        <w:tc>
          <w:tcPr>
            <w:tcW w:w="1134" w:type="dxa"/>
          </w:tcPr>
          <w:p w:rsidR="00D45083" w:rsidRPr="000E4A96" w:rsidRDefault="00D45083" w:rsidP="00D450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8" w:type="dxa"/>
          </w:tcPr>
          <w:p w:rsidR="00D45083" w:rsidRPr="000E4A96" w:rsidRDefault="00D45083" w:rsidP="000E4A96">
            <w:pPr>
              <w:rPr>
                <w:rFonts w:ascii="Arial" w:hAnsi="Arial" w:cs="Arial"/>
                <w:sz w:val="20"/>
                <w:szCs w:val="20"/>
              </w:rPr>
            </w:pPr>
            <w:r w:rsidRPr="000E4A96">
              <w:rPr>
                <w:rFonts w:ascii="Arial" w:hAnsi="Arial" w:cs="Arial"/>
                <w:sz w:val="20"/>
                <w:szCs w:val="20"/>
              </w:rPr>
              <w:t>Jednotková cena so spotrebnou daňou (EUR/1000 L) a bez DPH</w:t>
            </w:r>
          </w:p>
        </w:tc>
      </w:tr>
    </w:tbl>
    <w:p w:rsidR="00A67C0E" w:rsidRPr="00B378E3" w:rsidRDefault="00A67C0E" w:rsidP="00A67C0E">
      <w:pPr>
        <w:spacing w:after="120"/>
        <w:rPr>
          <w:rFonts w:ascii="Arial" w:hAnsi="Arial" w:cs="Arial"/>
          <w:b/>
          <w:sz w:val="20"/>
          <w:szCs w:val="20"/>
        </w:rPr>
      </w:pPr>
    </w:p>
    <w:p w:rsidR="00180F33" w:rsidRDefault="00180F33" w:rsidP="00B60AF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Nakoľko </w:t>
      </w:r>
      <w:r w:rsidR="000E4A96">
        <w:rPr>
          <w:rFonts w:ascii="Arial" w:hAnsi="Arial" w:cs="Arial"/>
          <w:sz w:val="20"/>
          <w:szCs w:val="20"/>
        </w:rPr>
        <w:t xml:space="preserve">sa môže </w:t>
      </w:r>
      <w:r w:rsidR="005D1AF9">
        <w:rPr>
          <w:rFonts w:ascii="Arial" w:hAnsi="Arial" w:cs="Arial"/>
          <w:sz w:val="20"/>
          <w:szCs w:val="20"/>
        </w:rPr>
        <w:t>jednotková</w:t>
      </w:r>
      <w:r w:rsidR="00B60AF8">
        <w:rPr>
          <w:rFonts w:ascii="Arial" w:hAnsi="Arial" w:cs="Arial"/>
          <w:sz w:val="20"/>
          <w:szCs w:val="20"/>
        </w:rPr>
        <w:t xml:space="preserve"> cena</w:t>
      </w:r>
      <w:r>
        <w:rPr>
          <w:rFonts w:ascii="Arial" w:hAnsi="Arial" w:cs="Arial"/>
          <w:sz w:val="20"/>
          <w:szCs w:val="20"/>
        </w:rPr>
        <w:t xml:space="preserve"> počas doby platnosti</w:t>
      </w:r>
      <w:r w:rsidR="00B60AF8">
        <w:rPr>
          <w:rFonts w:ascii="Arial" w:hAnsi="Arial" w:cs="Arial"/>
          <w:sz w:val="20"/>
          <w:szCs w:val="20"/>
        </w:rPr>
        <w:t xml:space="preserve"> zmluvy</w:t>
      </w:r>
      <w:r w:rsidR="000E4A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meniť </w:t>
      </w:r>
      <w:r w:rsidR="00B60AF8">
        <w:rPr>
          <w:rFonts w:ascii="Arial" w:hAnsi="Arial" w:cs="Arial"/>
          <w:sz w:val="20"/>
          <w:szCs w:val="20"/>
        </w:rPr>
        <w:t>na základe vývoja cien nafty</w:t>
      </w:r>
      <w:r w:rsidR="000E4A96">
        <w:rPr>
          <w:rFonts w:ascii="Arial" w:hAnsi="Arial" w:cs="Arial"/>
          <w:sz w:val="20"/>
          <w:szCs w:val="20"/>
        </w:rPr>
        <w:t>,</w:t>
      </w:r>
      <w:r w:rsidR="00B60AF8">
        <w:rPr>
          <w:rFonts w:ascii="Arial" w:hAnsi="Arial" w:cs="Arial"/>
          <w:sz w:val="20"/>
          <w:szCs w:val="20"/>
        </w:rPr>
        <w:t xml:space="preserve"> </w:t>
      </w:r>
      <w:r w:rsidR="00C04452">
        <w:rPr>
          <w:rFonts w:ascii="Arial" w:hAnsi="Arial" w:cs="Arial"/>
          <w:sz w:val="20"/>
          <w:szCs w:val="20"/>
        </w:rPr>
        <w:t xml:space="preserve"> predložená </w:t>
      </w:r>
      <w:r w:rsidR="005D1AF9">
        <w:rPr>
          <w:rFonts w:ascii="Arial" w:hAnsi="Arial" w:cs="Arial"/>
          <w:sz w:val="20"/>
          <w:szCs w:val="20"/>
        </w:rPr>
        <w:t>jednotková</w:t>
      </w:r>
      <w:r>
        <w:rPr>
          <w:rFonts w:ascii="Arial" w:hAnsi="Arial" w:cs="Arial"/>
          <w:sz w:val="20"/>
          <w:szCs w:val="20"/>
        </w:rPr>
        <w:t xml:space="preserve"> cena v súťaži</w:t>
      </w:r>
      <w:r w:rsidRPr="00960C35">
        <w:rPr>
          <w:rFonts w:ascii="Arial" w:hAnsi="Arial" w:cs="Arial"/>
          <w:sz w:val="20"/>
          <w:szCs w:val="20"/>
        </w:rPr>
        <w:t xml:space="preserve"> bude s</w:t>
      </w:r>
      <w:r>
        <w:rPr>
          <w:rFonts w:ascii="Arial" w:hAnsi="Arial" w:cs="Arial"/>
          <w:sz w:val="20"/>
          <w:szCs w:val="20"/>
        </w:rPr>
        <w:t>l</w:t>
      </w:r>
      <w:r w:rsidRPr="00960C35">
        <w:rPr>
          <w:rFonts w:ascii="Arial" w:hAnsi="Arial" w:cs="Arial"/>
          <w:sz w:val="20"/>
          <w:szCs w:val="20"/>
        </w:rPr>
        <w:t xml:space="preserve">úžiť </w:t>
      </w:r>
      <w:r w:rsidRPr="00C04452">
        <w:rPr>
          <w:rFonts w:ascii="Arial" w:hAnsi="Arial" w:cs="Arial"/>
          <w:b/>
          <w:sz w:val="20"/>
          <w:szCs w:val="20"/>
        </w:rPr>
        <w:t xml:space="preserve">len </w:t>
      </w:r>
      <w:r w:rsidR="00F058C8">
        <w:rPr>
          <w:rFonts w:ascii="Arial" w:hAnsi="Arial" w:cs="Arial"/>
          <w:b/>
          <w:sz w:val="20"/>
          <w:szCs w:val="20"/>
        </w:rPr>
        <w:t xml:space="preserve">za účelom </w:t>
      </w:r>
      <w:r w:rsidRPr="00C04452">
        <w:rPr>
          <w:rFonts w:ascii="Arial" w:hAnsi="Arial" w:cs="Arial"/>
          <w:b/>
          <w:sz w:val="20"/>
          <w:szCs w:val="20"/>
        </w:rPr>
        <w:t>vyhodnoteni</w:t>
      </w:r>
      <w:r w:rsidR="00F058C8">
        <w:rPr>
          <w:rFonts w:ascii="Arial" w:hAnsi="Arial" w:cs="Arial"/>
          <w:b/>
          <w:sz w:val="20"/>
          <w:szCs w:val="20"/>
        </w:rPr>
        <w:t>a</w:t>
      </w:r>
      <w:r w:rsidRPr="00C04452">
        <w:rPr>
          <w:rFonts w:ascii="Arial" w:hAnsi="Arial" w:cs="Arial"/>
          <w:b/>
          <w:sz w:val="20"/>
          <w:szCs w:val="20"/>
        </w:rPr>
        <w:t xml:space="preserve"> ponúk uchádzačov.</w:t>
      </w:r>
    </w:p>
    <w:p w:rsidR="00B60AF8" w:rsidRDefault="00B60AF8" w:rsidP="00B60AF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408F7">
        <w:rPr>
          <w:rFonts w:ascii="Arial" w:hAnsi="Arial" w:cs="Arial"/>
          <w:sz w:val="20"/>
          <w:szCs w:val="20"/>
        </w:rPr>
        <w:t xml:space="preserve">Uchádzač </w:t>
      </w:r>
      <w:r>
        <w:rPr>
          <w:rFonts w:ascii="Arial" w:hAnsi="Arial" w:cs="Arial"/>
          <w:sz w:val="20"/>
          <w:szCs w:val="20"/>
        </w:rPr>
        <w:t xml:space="preserve">pre výpočet </w:t>
      </w:r>
      <w:r w:rsidR="005D1AF9">
        <w:rPr>
          <w:rFonts w:ascii="Arial" w:hAnsi="Arial" w:cs="Arial"/>
          <w:sz w:val="20"/>
          <w:szCs w:val="20"/>
        </w:rPr>
        <w:t>jednotkovej</w:t>
      </w:r>
      <w:r>
        <w:rPr>
          <w:rFonts w:ascii="Arial" w:hAnsi="Arial" w:cs="Arial"/>
          <w:sz w:val="20"/>
          <w:szCs w:val="20"/>
        </w:rPr>
        <w:t xml:space="preserve"> ceny použije aritmetický priemer</w:t>
      </w:r>
      <w:r w:rsidR="00C04452">
        <w:rPr>
          <w:rFonts w:ascii="Arial" w:hAnsi="Arial" w:cs="Arial"/>
          <w:sz w:val="20"/>
          <w:szCs w:val="20"/>
        </w:rPr>
        <w:t xml:space="preserve"> kotácie </w:t>
      </w:r>
      <w:r>
        <w:rPr>
          <w:rFonts w:ascii="Arial" w:hAnsi="Arial" w:cs="Arial"/>
          <w:sz w:val="20"/>
          <w:szCs w:val="20"/>
        </w:rPr>
        <w:t>kalendárneho mesiaca</w:t>
      </w:r>
      <w:r w:rsidR="00A673FB">
        <w:rPr>
          <w:rFonts w:ascii="Arial" w:hAnsi="Arial" w:cs="Arial"/>
          <w:sz w:val="20"/>
          <w:szCs w:val="20"/>
        </w:rPr>
        <w:t xml:space="preserve"> stanovený Obstarávateľom</w:t>
      </w:r>
      <w:r w:rsidR="00C04452">
        <w:rPr>
          <w:rFonts w:ascii="Arial" w:hAnsi="Arial" w:cs="Arial"/>
          <w:sz w:val="20"/>
          <w:szCs w:val="20"/>
        </w:rPr>
        <w:t>,</w:t>
      </w:r>
      <w:r w:rsidR="005D1A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ktorý mu bude uvedený vo výzve </w:t>
      </w:r>
      <w:r w:rsidR="00C04452">
        <w:rPr>
          <w:rFonts w:ascii="Arial" w:hAnsi="Arial" w:cs="Arial"/>
          <w:sz w:val="20"/>
          <w:szCs w:val="20"/>
        </w:rPr>
        <w:t>na predloženie základnej ponuky a bude platný pre celý priebeh súťaže.</w:t>
      </w:r>
    </w:p>
    <w:p w:rsidR="005260E5" w:rsidRDefault="005260E5" w:rsidP="00E80F7A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91899" w:rsidRPr="008562E4" w:rsidRDefault="001E6C9E" w:rsidP="00E80F7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Jednotková</w:t>
      </w:r>
      <w:r w:rsidR="00E80F7A" w:rsidRPr="008562E4">
        <w:rPr>
          <w:rFonts w:ascii="Arial" w:hAnsi="Arial" w:cs="Arial"/>
          <w:sz w:val="20"/>
          <w:szCs w:val="20"/>
        </w:rPr>
        <w:t xml:space="preserve"> cena za dodanie tovaru </w:t>
      </w:r>
      <w:r w:rsidR="00851A97">
        <w:rPr>
          <w:rFonts w:ascii="Arial" w:hAnsi="Arial" w:cs="Arial"/>
          <w:sz w:val="20"/>
          <w:szCs w:val="20"/>
        </w:rPr>
        <w:t xml:space="preserve">počas plnenia z rámcovej zmluvy </w:t>
      </w:r>
      <w:r w:rsidR="00E80F7A" w:rsidRPr="008562E4">
        <w:rPr>
          <w:rFonts w:ascii="Arial" w:hAnsi="Arial" w:cs="Arial"/>
          <w:sz w:val="20"/>
          <w:szCs w:val="20"/>
        </w:rPr>
        <w:t xml:space="preserve">bude  uvedená v príslušnej Kúpnej zmluve </w:t>
      </w:r>
      <w:r>
        <w:rPr>
          <w:rFonts w:ascii="Arial" w:hAnsi="Arial" w:cs="Arial"/>
          <w:sz w:val="20"/>
          <w:szCs w:val="20"/>
        </w:rPr>
        <w:t>(Objednávke)</w:t>
      </w:r>
      <w:r w:rsidR="00E34B21" w:rsidRPr="008562E4">
        <w:rPr>
          <w:rFonts w:ascii="Arial" w:hAnsi="Arial" w:cs="Arial"/>
          <w:sz w:val="20"/>
          <w:szCs w:val="20"/>
        </w:rPr>
        <w:t xml:space="preserve"> </w:t>
      </w:r>
      <w:r w:rsidR="00E80F7A" w:rsidRPr="008562E4">
        <w:rPr>
          <w:rFonts w:ascii="Arial" w:hAnsi="Arial" w:cs="Arial"/>
          <w:sz w:val="20"/>
          <w:szCs w:val="20"/>
        </w:rPr>
        <w:t>a bude vypočítaná na základe záväznej jednotkovej ceny stanovenej podľa vzorca a záväzného množstva tovaru uvedeného v príslušnej Kúpnej zmluve</w:t>
      </w:r>
      <w:r w:rsidR="003F2AC5">
        <w:rPr>
          <w:rFonts w:ascii="Arial" w:hAnsi="Arial" w:cs="Arial"/>
          <w:sz w:val="20"/>
          <w:szCs w:val="20"/>
        </w:rPr>
        <w:t xml:space="preserve"> (Objednávke)</w:t>
      </w:r>
      <w:r w:rsidR="00E80F7A" w:rsidRPr="008562E4">
        <w:rPr>
          <w:rFonts w:ascii="Arial" w:hAnsi="Arial" w:cs="Arial"/>
          <w:sz w:val="20"/>
          <w:szCs w:val="20"/>
        </w:rPr>
        <w:t>.</w:t>
      </w:r>
    </w:p>
    <w:p w:rsidR="00491899" w:rsidRPr="008562E4" w:rsidRDefault="00491899" w:rsidP="00E80F7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562E4">
        <w:rPr>
          <w:rFonts w:ascii="Arial" w:hAnsi="Arial" w:cs="Arial"/>
          <w:sz w:val="20"/>
          <w:szCs w:val="20"/>
        </w:rPr>
        <w:t xml:space="preserve">V prípade zmeny legislatívy, v dôsledku ktorej sa zmenia vstupné hodnoty </w:t>
      </w:r>
      <w:r w:rsidR="00EE240C">
        <w:rPr>
          <w:rFonts w:ascii="Arial" w:hAnsi="Arial" w:cs="Arial"/>
          <w:sz w:val="20"/>
          <w:szCs w:val="20"/>
        </w:rPr>
        <w:t>v</w:t>
      </w:r>
      <w:r w:rsidRPr="008562E4">
        <w:rPr>
          <w:rFonts w:ascii="Arial" w:hAnsi="Arial" w:cs="Arial"/>
          <w:sz w:val="20"/>
          <w:szCs w:val="20"/>
        </w:rPr>
        <w:t xml:space="preserve">o vzorci pre výpočet </w:t>
      </w:r>
      <w:r w:rsidR="00A673FB">
        <w:rPr>
          <w:rFonts w:ascii="Arial" w:hAnsi="Arial" w:cs="Arial"/>
          <w:sz w:val="20"/>
          <w:szCs w:val="20"/>
        </w:rPr>
        <w:t xml:space="preserve">jednotkovej </w:t>
      </w:r>
      <w:r w:rsidRPr="008562E4">
        <w:rPr>
          <w:rFonts w:ascii="Arial" w:hAnsi="Arial" w:cs="Arial"/>
          <w:sz w:val="20"/>
          <w:szCs w:val="20"/>
        </w:rPr>
        <w:t xml:space="preserve">ceny </w:t>
      </w:r>
      <w:r w:rsidR="00C414A4">
        <w:rPr>
          <w:rFonts w:ascii="Arial" w:hAnsi="Arial" w:cs="Arial"/>
          <w:sz w:val="20"/>
          <w:szCs w:val="20"/>
        </w:rPr>
        <w:t xml:space="preserve">Tovaru </w:t>
      </w:r>
      <w:r w:rsidRPr="008562E4">
        <w:rPr>
          <w:rFonts w:ascii="Arial" w:hAnsi="Arial" w:cs="Arial"/>
          <w:sz w:val="20"/>
          <w:szCs w:val="20"/>
        </w:rPr>
        <w:t>v zmysle Prílohy</w:t>
      </w:r>
      <w:r w:rsidR="005260E5">
        <w:rPr>
          <w:rFonts w:ascii="Arial" w:hAnsi="Arial" w:cs="Arial"/>
          <w:sz w:val="20"/>
          <w:szCs w:val="20"/>
        </w:rPr>
        <w:t xml:space="preserve"> </w:t>
      </w:r>
      <w:r w:rsidRPr="008562E4">
        <w:rPr>
          <w:rFonts w:ascii="Arial" w:hAnsi="Arial" w:cs="Arial"/>
          <w:sz w:val="20"/>
          <w:szCs w:val="20"/>
        </w:rPr>
        <w:t xml:space="preserve">– „Spôsob výpočtu ceny“, bude táto zmena písomne odsúhlasená oboma zmluvnými stranami bez </w:t>
      </w:r>
      <w:r w:rsidR="00C414A4">
        <w:rPr>
          <w:rFonts w:ascii="Arial" w:hAnsi="Arial" w:cs="Arial"/>
          <w:sz w:val="20"/>
          <w:szCs w:val="20"/>
        </w:rPr>
        <w:t>povinnos</w:t>
      </w:r>
      <w:r w:rsidRPr="008562E4">
        <w:rPr>
          <w:rFonts w:ascii="Arial" w:hAnsi="Arial" w:cs="Arial"/>
          <w:sz w:val="20"/>
          <w:szCs w:val="20"/>
        </w:rPr>
        <w:t xml:space="preserve">ti uzatvárať </w:t>
      </w:r>
      <w:r w:rsidR="00C414A4">
        <w:rPr>
          <w:rFonts w:ascii="Arial" w:hAnsi="Arial" w:cs="Arial"/>
          <w:sz w:val="20"/>
          <w:szCs w:val="20"/>
        </w:rPr>
        <w:t>d</w:t>
      </w:r>
      <w:r w:rsidRPr="008562E4">
        <w:rPr>
          <w:rFonts w:ascii="Arial" w:hAnsi="Arial" w:cs="Arial"/>
          <w:sz w:val="20"/>
          <w:szCs w:val="20"/>
        </w:rPr>
        <w:t>odatok k zmluve.</w:t>
      </w:r>
    </w:p>
    <w:p w:rsidR="00491899" w:rsidRPr="008562E4" w:rsidRDefault="00491899" w:rsidP="00E80F7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562E4">
        <w:rPr>
          <w:rFonts w:ascii="Arial" w:hAnsi="Arial" w:cs="Arial"/>
          <w:sz w:val="20"/>
          <w:szCs w:val="20"/>
        </w:rPr>
        <w:t>Predávajúci je povinný bezodkladne informovať Kupujúceho o</w:t>
      </w:r>
      <w:r w:rsidR="00C414A4">
        <w:rPr>
          <w:rFonts w:ascii="Arial" w:hAnsi="Arial" w:cs="Arial"/>
          <w:sz w:val="20"/>
          <w:szCs w:val="20"/>
        </w:rPr>
        <w:t> </w:t>
      </w:r>
      <w:r w:rsidRPr="008562E4">
        <w:rPr>
          <w:rFonts w:ascii="Arial" w:hAnsi="Arial" w:cs="Arial"/>
          <w:sz w:val="20"/>
          <w:szCs w:val="20"/>
        </w:rPr>
        <w:t>zmene</w:t>
      </w:r>
      <w:r w:rsidR="00C414A4">
        <w:rPr>
          <w:rFonts w:ascii="Arial" w:hAnsi="Arial" w:cs="Arial"/>
          <w:sz w:val="20"/>
          <w:szCs w:val="20"/>
        </w:rPr>
        <w:t>/zmenách vstupných hodnôt vo vzorci pre výpočet jednotkovej ceny Tovaru, pričom takúto zmenu/zmeny je povinný Kupujúcemu riadne preukázať</w:t>
      </w:r>
      <w:r w:rsidRPr="008562E4">
        <w:rPr>
          <w:rFonts w:ascii="Arial" w:hAnsi="Arial" w:cs="Arial"/>
          <w:sz w:val="20"/>
          <w:szCs w:val="20"/>
        </w:rPr>
        <w:t>.</w:t>
      </w:r>
    </w:p>
    <w:p w:rsidR="008C0859" w:rsidRPr="00B378E3" w:rsidRDefault="008C0859" w:rsidP="00AE2C5F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8C0859" w:rsidRPr="00B378E3" w:rsidSect="00B378E3">
      <w:footerReference w:type="default" r:id="rId7"/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F5A" w:rsidRDefault="00F25F5A" w:rsidP="005B573C">
      <w:pPr>
        <w:spacing w:after="0" w:line="240" w:lineRule="auto"/>
      </w:pPr>
      <w:r>
        <w:separator/>
      </w:r>
    </w:p>
  </w:endnote>
  <w:endnote w:type="continuationSeparator" w:id="0">
    <w:p w:rsidR="00F25F5A" w:rsidRDefault="00F25F5A" w:rsidP="005B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0853484"/>
      <w:docPartObj>
        <w:docPartGallery w:val="Page Numbers (Bottom of Page)"/>
        <w:docPartUnique/>
      </w:docPartObj>
    </w:sdtPr>
    <w:sdtEndPr/>
    <w:sdtContent>
      <w:p w:rsidR="005B573C" w:rsidRDefault="005B573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4A4">
          <w:rPr>
            <w:noProof/>
          </w:rPr>
          <w:t>1</w:t>
        </w:r>
        <w:r>
          <w:fldChar w:fldCharType="end"/>
        </w:r>
      </w:p>
    </w:sdtContent>
  </w:sdt>
  <w:p w:rsidR="005B573C" w:rsidRDefault="005B573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F5A" w:rsidRDefault="00F25F5A" w:rsidP="005B573C">
      <w:pPr>
        <w:spacing w:after="0" w:line="240" w:lineRule="auto"/>
      </w:pPr>
      <w:r>
        <w:separator/>
      </w:r>
    </w:p>
  </w:footnote>
  <w:footnote w:type="continuationSeparator" w:id="0">
    <w:p w:rsidR="00F25F5A" w:rsidRDefault="00F25F5A" w:rsidP="005B5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7E49"/>
    <w:multiLevelType w:val="hybridMultilevel"/>
    <w:tmpl w:val="F098BD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C633A"/>
    <w:multiLevelType w:val="hybridMultilevel"/>
    <w:tmpl w:val="646E324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98"/>
    <w:rsid w:val="000253C0"/>
    <w:rsid w:val="000C4D05"/>
    <w:rsid w:val="000E1E1B"/>
    <w:rsid w:val="000E4A96"/>
    <w:rsid w:val="00136849"/>
    <w:rsid w:val="00180F33"/>
    <w:rsid w:val="001E6C9E"/>
    <w:rsid w:val="00211C8E"/>
    <w:rsid w:val="002670B2"/>
    <w:rsid w:val="00363301"/>
    <w:rsid w:val="003668B2"/>
    <w:rsid w:val="003D6A88"/>
    <w:rsid w:val="003E1351"/>
    <w:rsid w:val="003F2AC5"/>
    <w:rsid w:val="00491899"/>
    <w:rsid w:val="00495AB7"/>
    <w:rsid w:val="004F3430"/>
    <w:rsid w:val="005260E5"/>
    <w:rsid w:val="00554FC6"/>
    <w:rsid w:val="005928C2"/>
    <w:rsid w:val="005A6CF2"/>
    <w:rsid w:val="005B573C"/>
    <w:rsid w:val="005D1AF9"/>
    <w:rsid w:val="00623698"/>
    <w:rsid w:val="00631991"/>
    <w:rsid w:val="006716BF"/>
    <w:rsid w:val="0074680F"/>
    <w:rsid w:val="007D5CBC"/>
    <w:rsid w:val="007E73E2"/>
    <w:rsid w:val="00803408"/>
    <w:rsid w:val="00832AD2"/>
    <w:rsid w:val="00842004"/>
    <w:rsid w:val="00851A97"/>
    <w:rsid w:val="00853603"/>
    <w:rsid w:val="008562E4"/>
    <w:rsid w:val="008B4BE3"/>
    <w:rsid w:val="008C0859"/>
    <w:rsid w:val="008C0D80"/>
    <w:rsid w:val="00922BC0"/>
    <w:rsid w:val="009846A4"/>
    <w:rsid w:val="00A17767"/>
    <w:rsid w:val="00A25036"/>
    <w:rsid w:val="00A331D9"/>
    <w:rsid w:val="00A473AC"/>
    <w:rsid w:val="00A673FB"/>
    <w:rsid w:val="00A67C0E"/>
    <w:rsid w:val="00A77206"/>
    <w:rsid w:val="00AB2FD8"/>
    <w:rsid w:val="00AE2C5F"/>
    <w:rsid w:val="00B073CF"/>
    <w:rsid w:val="00B26266"/>
    <w:rsid w:val="00B378E3"/>
    <w:rsid w:val="00B42881"/>
    <w:rsid w:val="00B60AF8"/>
    <w:rsid w:val="00BC56C2"/>
    <w:rsid w:val="00C04452"/>
    <w:rsid w:val="00C414A4"/>
    <w:rsid w:val="00C468E2"/>
    <w:rsid w:val="00C5178D"/>
    <w:rsid w:val="00CD49FF"/>
    <w:rsid w:val="00D45083"/>
    <w:rsid w:val="00D453B6"/>
    <w:rsid w:val="00D77E61"/>
    <w:rsid w:val="00DD1BD8"/>
    <w:rsid w:val="00E27FEE"/>
    <w:rsid w:val="00E34B21"/>
    <w:rsid w:val="00E80F7A"/>
    <w:rsid w:val="00EE240C"/>
    <w:rsid w:val="00F058C8"/>
    <w:rsid w:val="00F06936"/>
    <w:rsid w:val="00F14101"/>
    <w:rsid w:val="00F23216"/>
    <w:rsid w:val="00F25F5A"/>
    <w:rsid w:val="00F37D20"/>
    <w:rsid w:val="00F461BD"/>
    <w:rsid w:val="00F90894"/>
    <w:rsid w:val="00FD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2A5D"/>
  <w15:docId w15:val="{406E19F9-80B5-4C1C-AB31-E950C18B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36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2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23698"/>
    <w:pPr>
      <w:ind w:left="720"/>
      <w:contextualSpacing/>
    </w:pPr>
  </w:style>
  <w:style w:type="character" w:customStyle="1" w:styleId="seNormalny3Char">
    <w:name w:val="seNormalny3 Char"/>
    <w:link w:val="seNormalny3"/>
    <w:locked/>
    <w:rsid w:val="00623698"/>
    <w:rPr>
      <w:rFonts w:ascii="Tahoma" w:hAnsi="Tahoma" w:cs="Tahoma"/>
    </w:rPr>
  </w:style>
  <w:style w:type="paragraph" w:customStyle="1" w:styleId="seNormalny3">
    <w:name w:val="seNormalny3"/>
    <w:basedOn w:val="Normlny"/>
    <w:link w:val="seNormalny3Char"/>
    <w:rsid w:val="00623698"/>
    <w:pPr>
      <w:overflowPunct w:val="0"/>
      <w:autoSpaceDE w:val="0"/>
      <w:autoSpaceDN w:val="0"/>
      <w:spacing w:before="120" w:after="40" w:line="240" w:lineRule="auto"/>
      <w:ind w:left="1701"/>
      <w:jc w:val="both"/>
    </w:pPr>
    <w:rPr>
      <w:rFonts w:ascii="Tahoma" w:hAnsi="Tahoma" w:cs="Tahoma"/>
    </w:rPr>
  </w:style>
  <w:style w:type="paragraph" w:customStyle="1" w:styleId="gmail-msonormal">
    <w:name w:val="gmail-msonormal"/>
    <w:basedOn w:val="Normlny"/>
    <w:rsid w:val="00A772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B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573C"/>
  </w:style>
  <w:style w:type="paragraph" w:styleId="Pta">
    <w:name w:val="footer"/>
    <w:basedOn w:val="Normlny"/>
    <w:link w:val="PtaChar"/>
    <w:uiPriority w:val="99"/>
    <w:unhideWhenUsed/>
    <w:rsid w:val="005B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5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Bučanyová Jana</dc:creator>
  <cp:lastModifiedBy>Bučányová Jana</cp:lastModifiedBy>
  <cp:revision>55</cp:revision>
  <cp:lastPrinted>2018-06-13T11:03:00Z</cp:lastPrinted>
  <dcterms:created xsi:type="dcterms:W3CDTF">2014-07-08T12:41:00Z</dcterms:created>
  <dcterms:modified xsi:type="dcterms:W3CDTF">2021-10-20T12:29:00Z</dcterms:modified>
</cp:coreProperties>
</file>