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B7" w:rsidRDefault="00F00523" w:rsidP="006B7319">
      <w:pPr>
        <w:pStyle w:val="Nadpis1"/>
        <w:ind w:left="-567"/>
        <w:jc w:val="center"/>
        <w:rPr>
          <w:b/>
        </w:rPr>
      </w:pPr>
      <w:r w:rsidRPr="00F00523">
        <w:rPr>
          <w:b/>
        </w:rPr>
        <w:t xml:space="preserve">Otázky a odpovede </w:t>
      </w:r>
      <w:r w:rsidR="00B36630">
        <w:rPr>
          <w:b/>
        </w:rPr>
        <w:t>I.</w:t>
      </w:r>
    </w:p>
    <w:p w:rsidR="00056387" w:rsidRPr="00CF6422" w:rsidRDefault="00BC23A9" w:rsidP="0005638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CA5CED">
        <w:rPr>
          <w:rFonts w:ascii="Arial" w:hAnsi="Arial" w:cs="Arial"/>
          <w:b/>
          <w:sz w:val="20"/>
        </w:rPr>
        <w:t>.</w:t>
      </w:r>
      <w:r w:rsidR="00C125AE">
        <w:rPr>
          <w:rFonts w:ascii="Arial" w:hAnsi="Arial" w:cs="Arial"/>
          <w:b/>
          <w:sz w:val="20"/>
        </w:rPr>
        <w:t>8</w:t>
      </w:r>
      <w:r w:rsidR="005A5BE3" w:rsidRPr="00CF6422">
        <w:rPr>
          <w:rFonts w:ascii="Arial" w:hAnsi="Arial" w:cs="Arial"/>
          <w:b/>
          <w:sz w:val="20"/>
        </w:rPr>
        <w:t>.</w:t>
      </w:r>
      <w:r w:rsidR="00CC3678">
        <w:rPr>
          <w:rFonts w:ascii="Arial" w:hAnsi="Arial" w:cs="Arial"/>
          <w:b/>
          <w:sz w:val="20"/>
        </w:rPr>
        <w:t>2021</w:t>
      </w:r>
    </w:p>
    <w:tbl>
      <w:tblPr>
        <w:tblW w:w="1550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4252"/>
        <w:gridCol w:w="6434"/>
      </w:tblGrid>
      <w:tr w:rsidR="00AA4FFD" w:rsidRPr="00440C01" w:rsidTr="006A1B54">
        <w:trPr>
          <w:trHeight w:val="510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440C01" w:rsidRDefault="00AA4FFD" w:rsidP="00330C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C01">
              <w:rPr>
                <w:rFonts w:ascii="Arial" w:hAnsi="Arial" w:cs="Arial"/>
                <w:b/>
                <w:bCs/>
                <w:sz w:val="20"/>
                <w:szCs w:val="20"/>
              </w:rPr>
              <w:t>Otázka 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C01">
              <w:rPr>
                <w:rFonts w:ascii="Arial" w:hAnsi="Arial" w:cs="Arial"/>
                <w:b/>
                <w:bCs/>
                <w:sz w:val="20"/>
                <w:szCs w:val="20"/>
              </w:rPr>
              <w:t>Väzba na tendrovú dokumentáciu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C01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FFD" w:rsidRPr="00440C01" w:rsidRDefault="00AA4FFD" w:rsidP="00D96904">
            <w:pPr>
              <w:ind w:left="139"/>
              <w:jc w:val="center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b/>
                <w:color w:val="4472C4"/>
                <w:sz w:val="20"/>
                <w:szCs w:val="20"/>
              </w:rPr>
              <w:t>Odpoveď</w:t>
            </w:r>
          </w:p>
        </w:tc>
      </w:tr>
      <w:tr w:rsidR="00AA4FFD" w:rsidRPr="00440C01" w:rsidTr="006A1B54">
        <w:trPr>
          <w:trHeight w:val="2295"/>
          <w:jc w:val="right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>Príloha - Návrh na plnenie kritérií obsahuje nasledovné položky:</w:t>
            </w:r>
            <w:r w:rsidRPr="00440C01">
              <w:rPr>
                <w:rFonts w:ascii="Arial" w:hAnsi="Arial" w:cs="Arial"/>
                <w:sz w:val="20"/>
                <w:szCs w:val="20"/>
              </w:rPr>
              <w:br/>
              <w:t>- TPS - SW úpravy, zber dát z bóromerov</w:t>
            </w:r>
            <w:r w:rsidRPr="00440C01">
              <w:rPr>
                <w:rFonts w:ascii="Arial" w:hAnsi="Arial" w:cs="Arial"/>
                <w:sz w:val="20"/>
                <w:szCs w:val="20"/>
              </w:rPr>
              <w:br/>
              <w:t xml:space="preserve">- TPS - zabezpečiť zber, dlhodobú archiváciu, alarmovanie a vizualizáciu meraných a diagnostických premenných z nových bóromerov. </w:t>
            </w:r>
            <w:r w:rsidRPr="00440C01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 w:rsidRPr="00440C01">
              <w:rPr>
                <w:rFonts w:ascii="Arial" w:hAnsi="Arial" w:cs="Arial"/>
                <w:sz w:val="20"/>
                <w:szCs w:val="20"/>
              </w:rPr>
              <w:br/>
              <w:t>TŠ 6.1. HRANICE PLNENIA,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>Aké konkrétne plnenie (hranice plnenia) je predpokladané v časti TPS? Kapitola TŠ (6.1. HRANICE PLNENIA) hovorí o hranici plnenia smerom k TPS na zariadení UNO. Iný dokument Príloha - Návrh na plnenie kritérií obsahuje položky - TPS - SW úpravy, zber dát z bóromerov - TPS - zabezpečiť zber, dlhodobú archiváciu, alarmovanie a vizualizáciu meraných a diagnostických premenných z nových bóromerov.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FFD" w:rsidRPr="00440C01" w:rsidRDefault="00AA4FFD" w:rsidP="00D96904">
            <w:pPr>
              <w:ind w:left="139" w:right="191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V TŠ 6.1. je uvedené, že sa predpokladajú hranice dodávky na UNO</w:t>
            </w:r>
          </w:p>
          <w:p w:rsidR="00AA4FFD" w:rsidRPr="00440C01" w:rsidRDefault="00AA4FFD" w:rsidP="00D96904">
            <w:pPr>
              <w:ind w:left="139" w:right="191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Ďalej je uvedené:“...Hranice predmetu plnenia budú presne vymedzené až na základe návrhu projektového riešenia.“</w:t>
            </w:r>
          </w:p>
          <w:p w:rsidR="00AA4FFD" w:rsidRPr="00440C01" w:rsidRDefault="00AA4FFD" w:rsidP="00D96904">
            <w:pPr>
              <w:ind w:left="139" w:right="191"/>
              <w:rPr>
                <w:color w:val="1F497D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Od dodávateľa sa požaduje, aby signály od všetkých bóromerov b</w:t>
            </w:r>
            <w:r w:rsidR="00B74563">
              <w:rPr>
                <w:rFonts w:ascii="Arial" w:hAnsi="Arial" w:cs="Arial"/>
                <w:color w:val="4472C4"/>
                <w:sz w:val="20"/>
                <w:szCs w:val="20"/>
              </w:rPr>
              <w:t>oli privedené zo servisnej stani</w:t>
            </w: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ce do TPS. Ak dodávateľom navrhnuté technické riešenie umožňuje komunikáciu priamo na servisnú stanicu aj do TPS, je vhodné posúdiť aj túto možnosť.</w:t>
            </w:r>
          </w:p>
        </w:tc>
      </w:tr>
      <w:tr w:rsidR="00AA4FFD" w:rsidRPr="00440C01" w:rsidTr="00060E8F">
        <w:trPr>
          <w:trHeight w:val="1785"/>
          <w:jc w:val="right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FFD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E8F" w:rsidRPr="00440C01" w:rsidRDefault="00060E8F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lastRenderedPageBreak/>
              <w:t>v TŠ v bode 4.1.3. SKR je uvedené: Servisné stanice umožnia sledovanie signálov v reálnom čase (čas aktualizácie ≤ 10 s), modifikovanie parametrov systému archiváciu a trendovanie po dobu min 30 dní, čítanie a spravovanie meraných údajov.</w:t>
            </w:r>
            <w:r w:rsidRPr="00440C01">
              <w:rPr>
                <w:rFonts w:ascii="Arial" w:hAnsi="Arial" w:cs="Arial"/>
                <w:sz w:val="20"/>
                <w:szCs w:val="20"/>
              </w:rPr>
              <w:br/>
              <w:t>Požaduje sa, aby signály od všetkých bóromerov boli privedené zo servisných staníc do TPS.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B74563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zo strany SE akceptovateľ</w:t>
            </w:r>
            <w:r w:rsidR="00AA4FFD" w:rsidRPr="00440C01">
              <w:rPr>
                <w:rFonts w:ascii="Arial" w:hAnsi="Arial" w:cs="Arial"/>
                <w:sz w:val="20"/>
                <w:szCs w:val="20"/>
              </w:rPr>
              <w:t xml:space="preserve">né zabezpečiť archiváciu a trendovanie po dobu min 30 dní v rámci TPS? </w:t>
            </w:r>
            <w:r w:rsidR="00AA4FFD" w:rsidRPr="00440C01">
              <w:rPr>
                <w:rFonts w:ascii="Arial" w:hAnsi="Arial" w:cs="Arial"/>
                <w:sz w:val="20"/>
                <w:szCs w:val="20"/>
              </w:rPr>
              <w:br/>
              <w:t>Predpokladáme, že trvalé zobrazovanie a archivácia údajov sa bude realizovať priamo v TPS.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4FFD" w:rsidRPr="00440C01" w:rsidRDefault="00AA4FFD" w:rsidP="00D96904">
            <w:pPr>
              <w:ind w:left="139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Požaduje sa zabezpečiť archivácia min 30 dní, trendovanie a spravovanie údajov na Servisnej stanici .ktorá bude súčasťou dodávky bóromerov.</w:t>
            </w:r>
          </w:p>
          <w:p w:rsidR="00AA4FFD" w:rsidRPr="00440C01" w:rsidRDefault="00AA4FFD" w:rsidP="00D96904">
            <w:pPr>
              <w:ind w:left="139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 xml:space="preserve">Zároveň sa požaduje zabezpečiť prenos signálov do TPS. </w:t>
            </w:r>
          </w:p>
          <w:p w:rsidR="00AA4FFD" w:rsidRPr="00440C01" w:rsidRDefault="00AA4FFD" w:rsidP="00D96904">
            <w:pPr>
              <w:ind w:left="139"/>
              <w:rPr>
                <w:rFonts w:ascii="Calibri" w:hAnsi="Calibri" w:cs="Calibri"/>
                <w:color w:val="1F497D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 xml:space="preserve">Vyvedenie signálov do TPS je dotazovaním. Frekvencia prenosu do TPS je 1 s Jednotlivé hodnoty parametrov prenášaných do TPS v tvare VTQ (hodnota, časové značka, kvalita). </w:t>
            </w:r>
            <w:r w:rsidRPr="00440C01">
              <w:rPr>
                <w:rFonts w:ascii="Arial" w:hAnsi="Arial" w:cs="Arial"/>
                <w:color w:val="1F497D"/>
                <w:sz w:val="20"/>
                <w:szCs w:val="20"/>
              </w:rPr>
              <w:t>K</w:t>
            </w: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 xml:space="preserve">omunikačné kanály do TPS dohodnuté a definované na fyzickej úrovni normou ProfiNet a na komunikačnej STN EN 60870-5-104:2007 (33 4600) a zmeny A1. Pre komunikáciu </w:t>
            </w:r>
            <w:r w:rsidRPr="00440C01">
              <w:rPr>
                <w:rFonts w:ascii="Arial" w:hAnsi="Arial" w:cs="Arial"/>
                <w:color w:val="1F497D"/>
                <w:sz w:val="20"/>
                <w:szCs w:val="20"/>
              </w:rPr>
              <w:t>je</w:t>
            </w: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 xml:space="preserve"> určený GW v TPS, ktorý urobí konverziu pre server OPC UA v TPS.</w:t>
            </w:r>
            <w:r w:rsidRPr="00440C01">
              <w:t xml:space="preserve"> </w:t>
            </w: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Musí byť dodržaná bezpečnosť vyčítavania dát (nastavenie Read only).</w:t>
            </w:r>
          </w:p>
          <w:p w:rsidR="00AA4FFD" w:rsidRPr="00440C01" w:rsidRDefault="00AA4FFD" w:rsidP="00D96904">
            <w:pPr>
              <w:ind w:left="139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 xml:space="preserve">Pre prípad výpadku cieľového archívu TPS alebo poruchy prenosu do TPS sa požaduje implementácia funkcie doposielania údajov zo </w:t>
            </w: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lastRenderedPageBreak/>
              <w:t>servera SS do TPS.</w:t>
            </w:r>
            <w:r w:rsidRPr="00440C01">
              <w:t xml:space="preserve"> </w:t>
            </w: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Časová synchronizácia bude prevzatá z TPS</w:t>
            </w:r>
          </w:p>
          <w:p w:rsidR="00AA4FFD" w:rsidRPr="00440C01" w:rsidRDefault="00AA4FFD" w:rsidP="00D96904">
            <w:pPr>
              <w:ind w:left="139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Projektové riešenie nemá vyvolať aj SW zmeny na pripojených systémoch – ak áno, bude obsahom dodávky aj zmena dotknutej časti pripojených systémov najmä TPS.</w:t>
            </w:r>
          </w:p>
          <w:p w:rsidR="00AA4FFD" w:rsidRPr="00440C01" w:rsidRDefault="00AA4FFD" w:rsidP="00D96904">
            <w:pPr>
              <w:ind w:left="139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Parametre meraní od bóromerov majú v TPS  nasledovné adresy  a meracie rozsahy: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5"/>
              <w:gridCol w:w="2410"/>
              <w:gridCol w:w="1583"/>
            </w:tblGrid>
            <w:tr w:rsidR="00AA4FFD" w:rsidRPr="00440C01" w:rsidTr="00630317">
              <w:tc>
                <w:tcPr>
                  <w:tcW w:w="2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630317" w:rsidRDefault="00AA4FFD" w:rsidP="00D96904">
                  <w:pPr>
                    <w:ind w:left="139"/>
                    <w:jc w:val="center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Projektové číslo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630317" w:rsidRDefault="00AA4FFD" w:rsidP="00D96904">
                  <w:pPr>
                    <w:ind w:left="139"/>
                    <w:jc w:val="center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adresa v TPS</w:t>
                  </w:r>
                </w:p>
              </w:tc>
              <w:tc>
                <w:tcPr>
                  <w:tcW w:w="1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630317" w:rsidRDefault="00AA4FFD" w:rsidP="00D96904">
                  <w:pPr>
                    <w:ind w:left="139"/>
                    <w:jc w:val="center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rozsah v TPS</w:t>
                  </w:r>
                </w:p>
              </w:tc>
            </w:tr>
            <w:tr w:rsidR="00AA4FFD" w:rsidRPr="00440C01" w:rsidTr="00630317"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YC-369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TC-043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TC-044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TH-092A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TH-093A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TH-094A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FFD" w:rsidRPr="00630317" w:rsidRDefault="00AA4FFD" w:rsidP="00D96904">
                  <w:pPr>
                    <w:ind w:left="139"/>
                    <w:jc w:val="center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</w:tc>
            </w:tr>
            <w:tr w:rsidR="00AA4FFD" w:rsidRPr="00440C01" w:rsidTr="00630317"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PA02-5100 YC-369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PA02-5100 TC-043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PA02-5100 TC-044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PA02-5100 TH-092A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PA02-5100 TH-093A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PA02-5100 TH-094A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FFD" w:rsidRPr="00630317" w:rsidRDefault="00AA4FFD" w:rsidP="00D96904">
                  <w:pPr>
                    <w:ind w:left="139"/>
                    <w:jc w:val="center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</w:tc>
            </w:tr>
            <w:tr w:rsidR="00AA4FFD" w:rsidRPr="00440C01" w:rsidTr="00630317"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TR-155D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TR-155E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PA02-0100 TR-155G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  <w:p w:rsidR="00AA4FFD" w:rsidRPr="00630317" w:rsidRDefault="00AA4FFD" w:rsidP="00630317">
                  <w:pPr>
                    <w:spacing w:after="0"/>
                    <w:ind w:left="139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  <w:r w:rsidRPr="00630317"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  <w:t>Neprenášané do TPS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4FFD" w:rsidRPr="00630317" w:rsidRDefault="00AA4FFD" w:rsidP="00D96904">
                  <w:pPr>
                    <w:ind w:left="139"/>
                    <w:jc w:val="center"/>
                    <w:rPr>
                      <w:rFonts w:ascii="Arial" w:hAnsi="Arial" w:cs="Arial"/>
                      <w:color w:val="4472C4"/>
                      <w:sz w:val="18"/>
                      <w:szCs w:val="20"/>
                    </w:rPr>
                  </w:pPr>
                </w:p>
              </w:tc>
            </w:tr>
          </w:tbl>
          <w:p w:rsidR="00AA4FFD" w:rsidRDefault="00AA4FFD" w:rsidP="00D96904">
            <w:pPr>
              <w:ind w:left="139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:rsidR="00AA4FFD" w:rsidRPr="00440C01" w:rsidRDefault="00AA4FFD" w:rsidP="00D96904">
            <w:pPr>
              <w:ind w:left="139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Požaduje sa, aby boli zachované vyvedenie signálov do TPS. Požaduje sa, aby adresácie systémov zostali zhodné so súčasnými.</w:t>
            </w:r>
          </w:p>
          <w:p w:rsidR="00AA4FFD" w:rsidRPr="00440C01" w:rsidRDefault="00AA4FFD" w:rsidP="007F2DBB">
            <w:pPr>
              <w:ind w:left="139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Ak dôjde ku úprave rozsahov meraní alebo rozšíreniu počtu prenášaných signálov požaduje sa ich úprava aj v TPS.</w:t>
            </w:r>
          </w:p>
        </w:tc>
      </w:tr>
      <w:tr w:rsidR="00AA4FFD" w:rsidRPr="00440C01" w:rsidTr="006A1B54">
        <w:trPr>
          <w:trHeight w:val="102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440C01" w:rsidRDefault="00AA4FFD" w:rsidP="006A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 xml:space="preserve">v TŠ v bode 2.4. v Tabuľke 2 je uvedené: Pre  miestnosti 342,313,376,312,377,302,386,412,439 je uvedená hodnota teploty za </w:t>
            </w:r>
            <w:r w:rsidR="00B74563">
              <w:rPr>
                <w:rFonts w:ascii="Arial" w:hAnsi="Arial" w:cs="Arial"/>
                <w:sz w:val="20"/>
                <w:szCs w:val="20"/>
              </w:rPr>
              <w:t>normálneho stavu 0°C a havarijné</w:t>
            </w:r>
            <w:r w:rsidRPr="00440C01">
              <w:rPr>
                <w:rFonts w:ascii="Arial" w:hAnsi="Arial" w:cs="Arial"/>
                <w:sz w:val="20"/>
                <w:szCs w:val="20"/>
              </w:rPr>
              <w:t>ho stavu 30°C.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AA4FFD" w:rsidP="00B7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>Je hodnota 0°C pre normálny stav správna? Aké hodnoty teploty prostredia sú požadované pre nasadzované systémy do týchto miestností pre normálny a</w:t>
            </w:r>
            <w:r w:rsidR="00B74563">
              <w:rPr>
                <w:rFonts w:ascii="Arial" w:hAnsi="Arial" w:cs="Arial"/>
                <w:sz w:val="20"/>
                <w:szCs w:val="20"/>
              </w:rPr>
              <w:t> </w:t>
            </w:r>
            <w:r w:rsidRPr="00440C01">
              <w:rPr>
                <w:rFonts w:ascii="Arial" w:hAnsi="Arial" w:cs="Arial"/>
                <w:sz w:val="20"/>
                <w:szCs w:val="20"/>
              </w:rPr>
              <w:t>havarijn</w:t>
            </w:r>
            <w:r w:rsidR="00B74563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440C01">
              <w:rPr>
                <w:rFonts w:ascii="Arial" w:hAnsi="Arial" w:cs="Arial"/>
                <w:sz w:val="20"/>
                <w:szCs w:val="20"/>
              </w:rPr>
              <w:t>stav?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FD" w:rsidRPr="00440C01" w:rsidRDefault="00AA4FFD" w:rsidP="00D96904">
            <w:pPr>
              <w:ind w:left="139" w:right="191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Pre stavebné 805, 806,807 má tabuľka iné  záhlavie .</w:t>
            </w:r>
          </w:p>
          <w:p w:rsidR="00AA4FFD" w:rsidRPr="00440C01" w:rsidRDefault="00AA4FFD" w:rsidP="00D96904">
            <w:pPr>
              <w:ind w:left="139" w:right="191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Opravená časť tabuľku pre miestnosti v stavebných objektoch 805,806 a 807:</w:t>
            </w:r>
          </w:p>
          <w:tbl>
            <w:tblPr>
              <w:tblW w:w="63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66"/>
              <w:gridCol w:w="1502"/>
              <w:gridCol w:w="969"/>
              <w:gridCol w:w="998"/>
              <w:gridCol w:w="903"/>
              <w:gridCol w:w="720"/>
            </w:tblGrid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Times New Roman" w:hAnsi="Times New Roman" w:cs="Times New Roman"/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SO</w:t>
                  </w:r>
                </w:p>
              </w:tc>
              <w:tc>
                <w:tcPr>
                  <w:tcW w:w="41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m.č.</w:t>
                  </w:r>
                </w:p>
              </w:tc>
              <w:tc>
                <w:tcPr>
                  <w:tcW w:w="158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Názov miestnosti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podlažie</w:t>
                  </w:r>
                </w:p>
              </w:tc>
              <w:tc>
                <w:tcPr>
                  <w:tcW w:w="8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Teplota</w:t>
                  </w:r>
                </w:p>
                <w:p w:rsidR="00AA4FFD" w:rsidRPr="00440C01" w:rsidRDefault="00AA4FFD" w:rsidP="00D96904">
                  <w:pPr>
                    <w:spacing w:after="0"/>
                    <w:ind w:left="139" w:right="-10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mim./max</w:t>
                  </w:r>
                </w:p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(</w:t>
                  </w:r>
                  <w:r w:rsidRPr="00440C01">
                    <w:rPr>
                      <w:rFonts w:ascii="Symbol" w:hAnsi="Symbol"/>
                      <w:color w:val="4472C4"/>
                      <w:sz w:val="18"/>
                      <w:szCs w:val="18"/>
                    </w:rPr>
                    <w:t></w:t>
                  </w:r>
                  <w:r w:rsidRPr="00440C01">
                    <w:rPr>
                      <w:color w:val="4472C4"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5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Vlhkosť</w:t>
                  </w:r>
                </w:p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strike/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max.</w:t>
                  </w:r>
                </w:p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STN</w:t>
                  </w:r>
                </w:p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33 0300</w:t>
                  </w:r>
                </w:p>
              </w:tc>
            </w:tr>
            <w:tr w:rsidR="00AA4FFD" w:rsidRPr="00440C01" w:rsidTr="00404775">
              <w:trPr>
                <w:cantSplit/>
                <w:trHeight w:val="135"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Spoločná dozorňa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+9,6 m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0/35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&lt;80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311</w:t>
                  </w: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Bloková dozorňa 3.bl.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+9,6 m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0/30</w:t>
                  </w:r>
                </w:p>
              </w:tc>
              <w:tc>
                <w:tcPr>
                  <w:tcW w:w="598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&lt;80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311</w:t>
                  </w: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Bloková dozorňa 4.bl.</w:t>
                  </w:r>
                </w:p>
              </w:tc>
              <w:tc>
                <w:tcPr>
                  <w:tcW w:w="6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0/35</w:t>
                  </w:r>
                </w:p>
              </w:tc>
              <w:tc>
                <w:tcPr>
                  <w:tcW w:w="598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Bloková dozorňa 3.bl. - neoperatívna časť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+9,6 m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0/30</w:t>
                  </w:r>
                </w:p>
              </w:tc>
              <w:tc>
                <w:tcPr>
                  <w:tcW w:w="598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&lt;80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311</w:t>
                  </w: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Bloková dozorňa 4.bl. - neoperatívna časť</w:t>
                  </w:r>
                </w:p>
              </w:tc>
              <w:tc>
                <w:tcPr>
                  <w:tcW w:w="6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0/35</w:t>
                  </w:r>
                </w:p>
              </w:tc>
              <w:tc>
                <w:tcPr>
                  <w:tcW w:w="598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Núdzová dozorňa 3.bl.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+9,6 m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0/30</w:t>
                  </w:r>
                </w:p>
              </w:tc>
              <w:tc>
                <w:tcPr>
                  <w:tcW w:w="598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&lt;80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311</w:t>
                  </w: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Núdzová dozorňa 4.bl.</w:t>
                  </w:r>
                </w:p>
              </w:tc>
              <w:tc>
                <w:tcPr>
                  <w:tcW w:w="6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0/30</w:t>
                  </w:r>
                </w:p>
              </w:tc>
              <w:tc>
                <w:tcPr>
                  <w:tcW w:w="598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El. rozvodňa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+14,7m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0/30</w:t>
                  </w:r>
                </w:p>
              </w:tc>
              <w:tc>
                <w:tcPr>
                  <w:tcW w:w="598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&lt;80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311</w:t>
                  </w:r>
                </w:p>
              </w:tc>
            </w:tr>
            <w:tr w:rsidR="00AA4FFD" w:rsidRPr="00440C01" w:rsidTr="00404775">
              <w:trPr>
                <w:cantSplit/>
                <w:tblHeader/>
              </w:trPr>
              <w:tc>
                <w:tcPr>
                  <w:tcW w:w="3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439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El. rozvodňa</w:t>
                  </w:r>
                </w:p>
              </w:tc>
              <w:tc>
                <w:tcPr>
                  <w:tcW w:w="6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color w:val="4472C4"/>
                      <w:sz w:val="18"/>
                      <w:szCs w:val="18"/>
                    </w:rPr>
                  </w:pPr>
                  <w:r w:rsidRPr="00440C01">
                    <w:rPr>
                      <w:color w:val="4472C4"/>
                      <w:sz w:val="18"/>
                      <w:szCs w:val="18"/>
                    </w:rPr>
                    <w:t>0/30</w:t>
                  </w:r>
                </w:p>
              </w:tc>
              <w:tc>
                <w:tcPr>
                  <w:tcW w:w="598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4FFD" w:rsidRPr="00440C01" w:rsidRDefault="00AA4FFD" w:rsidP="00D96904">
                  <w:pPr>
                    <w:spacing w:after="0"/>
                    <w:ind w:left="139"/>
                    <w:jc w:val="center"/>
                    <w:rPr>
                      <w:rFonts w:ascii="Calibri" w:hAnsi="Calibri" w:cs="Calibri"/>
                      <w:color w:val="4472C4"/>
                      <w:sz w:val="18"/>
                      <w:szCs w:val="18"/>
                    </w:rPr>
                  </w:pPr>
                </w:p>
              </w:tc>
            </w:tr>
          </w:tbl>
          <w:p w:rsidR="00AA4FFD" w:rsidRPr="00440C01" w:rsidRDefault="00AA4FFD" w:rsidP="00D96904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4FFD" w:rsidRPr="00440C01" w:rsidTr="006A1B54">
        <w:trPr>
          <w:trHeight w:val="1275"/>
          <w:jc w:val="right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t>V TŠ v bode 2.2 je pre prietočný snímač YC-369 uvedené:</w:t>
            </w:r>
            <w:r w:rsidR="00B7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C01">
              <w:rPr>
                <w:rFonts w:ascii="Arial" w:hAnsi="Arial" w:cs="Arial"/>
                <w:sz w:val="20"/>
                <w:szCs w:val="20"/>
              </w:rPr>
              <w:t xml:space="preserve">"Maximálna chyba merania koncentrácie H3BO3 je 1,5%". V bode 4.1.3.:"presnosť merania kyseliny H3BO3:... v rozsahu 0 - 10g +-0,1g/kg, v rozsahu 10 - 50g </w:t>
            </w:r>
            <w:r w:rsidRPr="00440C01">
              <w:rPr>
                <w:rFonts w:ascii="Arial" w:hAnsi="Arial" w:cs="Arial"/>
                <w:sz w:val="20"/>
                <w:szCs w:val="20"/>
              </w:rPr>
              <w:lastRenderedPageBreak/>
              <w:t>+- 1% z meranej hodnoty,"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FFD" w:rsidRPr="00440C01" w:rsidRDefault="00AA4FFD" w:rsidP="006B7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1">
              <w:rPr>
                <w:rFonts w:ascii="Arial" w:hAnsi="Arial" w:cs="Arial"/>
                <w:sz w:val="20"/>
                <w:szCs w:val="20"/>
              </w:rPr>
              <w:lastRenderedPageBreak/>
              <w:t>Aká je požadovaná pre meranie YC-369 pri nominálnych parametroch média?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FFD" w:rsidRPr="00440C01" w:rsidRDefault="00AA4FFD" w:rsidP="00D96904">
            <w:pPr>
              <w:ind w:left="139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V bode 2.2 TŠ je popis stavu súčasných bóromerov.</w:t>
            </w:r>
          </w:p>
          <w:p w:rsidR="00AA4FFD" w:rsidRPr="00440C01" w:rsidRDefault="00AA4FFD" w:rsidP="00D96904">
            <w:pPr>
              <w:ind w:left="139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 xml:space="preserve">Požadovaná presnosť nových  bóromerov po výmene je uvedená v kapitole </w:t>
            </w:r>
            <w:r w:rsidRPr="00440C01">
              <w:rPr>
                <w:rFonts w:ascii="Arial" w:hAnsi="Arial" w:cs="Arial"/>
                <w:color w:val="1F497D"/>
                <w:sz w:val="20"/>
                <w:szCs w:val="20"/>
              </w:rPr>
              <w:t>4.</w:t>
            </w: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1.3.:</w:t>
            </w:r>
          </w:p>
          <w:p w:rsidR="00AA4FFD" w:rsidRPr="00440C01" w:rsidRDefault="00AA4FFD" w:rsidP="00D9690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spacing w:after="0" w:line="240" w:lineRule="auto"/>
              <w:ind w:left="139"/>
              <w:rPr>
                <w:rFonts w:ascii="Arial" w:hAnsi="Arial" w:cs="Arial"/>
                <w:color w:val="4472C4"/>
                <w:sz w:val="20"/>
                <w:szCs w:val="20"/>
                <w:lang w:eastAsia="sk-SK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  <w:lang w:eastAsia="sk-SK"/>
              </w:rPr>
              <w:t>presnosť merania kyseliny H3BO3:</w:t>
            </w:r>
          </w:p>
          <w:p w:rsidR="00AA4FFD" w:rsidRPr="00440C01" w:rsidRDefault="00AA4FFD" w:rsidP="00D96904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spacing w:after="0" w:line="240" w:lineRule="auto"/>
              <w:ind w:left="139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sk-SK"/>
              </w:rPr>
            </w:pPr>
            <w:r w:rsidRPr="00440C01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sk-SK"/>
              </w:rPr>
              <w:t>u závesných bóromerov</w:t>
            </w:r>
          </w:p>
          <w:p w:rsidR="00AA4FFD" w:rsidRPr="00440C01" w:rsidRDefault="00AA4FFD" w:rsidP="00D96904">
            <w:pPr>
              <w:overflowPunct w:val="0"/>
              <w:autoSpaceDE w:val="0"/>
              <w:autoSpaceDN w:val="0"/>
              <w:ind w:left="139" w:firstLine="698"/>
              <w:contextualSpacing/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sk-SK"/>
              </w:rPr>
            </w:pPr>
            <w:r w:rsidRPr="00440C01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sk-SK"/>
              </w:rPr>
              <w:lastRenderedPageBreak/>
              <w:t>v rozsahu 0 - 6g  +-0,2g/kg, v rozsahu 6 - 50g +- 3% z meranej hodnoty,</w:t>
            </w:r>
          </w:p>
          <w:p w:rsidR="00AA4FFD" w:rsidRPr="00440C01" w:rsidRDefault="00AA4FFD" w:rsidP="00D96904">
            <w:pPr>
              <w:overflowPunct w:val="0"/>
              <w:autoSpaceDE w:val="0"/>
              <w:autoSpaceDN w:val="0"/>
              <w:ind w:left="139" w:firstLine="698"/>
              <w:contextualSpacing/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sk-SK"/>
              </w:rPr>
            </w:pPr>
            <w:r w:rsidRPr="00440C01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sk-SK"/>
              </w:rPr>
              <w:t>maximálne 2,5% z rozsahu merania,</w:t>
            </w:r>
          </w:p>
          <w:p w:rsidR="00AA4FFD" w:rsidRPr="00440C01" w:rsidRDefault="00AA4FFD" w:rsidP="00D96904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spacing w:after="0" w:line="240" w:lineRule="auto"/>
              <w:ind w:left="139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sk-SK"/>
              </w:rPr>
            </w:pPr>
            <w:r w:rsidRPr="00440C01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sk-SK"/>
              </w:rPr>
              <w:t>u prietočných bóromerov</w:t>
            </w:r>
          </w:p>
          <w:p w:rsidR="00AA4FFD" w:rsidRPr="00440C01" w:rsidRDefault="00AA4FFD" w:rsidP="00D96904">
            <w:pPr>
              <w:overflowPunct w:val="0"/>
              <w:autoSpaceDE w:val="0"/>
              <w:autoSpaceDN w:val="0"/>
              <w:ind w:left="139" w:firstLine="698"/>
              <w:contextualSpacing/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sk-SK"/>
              </w:rPr>
            </w:pPr>
            <w:r w:rsidRPr="00440C01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sk-SK"/>
              </w:rPr>
              <w:t>v rozsahu 0 - 10g +-0,1g/kg, v rozsahu 10 - 50g +- 1% z meranej hodnoty</w:t>
            </w:r>
          </w:p>
          <w:p w:rsidR="00AA4FFD" w:rsidRPr="00440C01" w:rsidRDefault="00AA4FFD" w:rsidP="00D96904">
            <w:pPr>
              <w:overflowPunct w:val="0"/>
              <w:autoSpaceDE w:val="0"/>
              <w:autoSpaceDN w:val="0"/>
              <w:ind w:left="139"/>
              <w:rPr>
                <w:rFonts w:ascii="Calibri" w:hAnsi="Calibri" w:cs="Calibri"/>
                <w:color w:val="4472C4"/>
              </w:rPr>
            </w:pPr>
            <w:r w:rsidRPr="00440C01">
              <w:rPr>
                <w:rFonts w:ascii="Arial" w:hAnsi="Arial" w:cs="Arial"/>
                <w:color w:val="4472C4"/>
                <w:sz w:val="20"/>
                <w:szCs w:val="20"/>
              </w:rPr>
              <w:t>Požadovaná presnosť pre meranie YC-369 je v rozsahu 0 - 10g +-0,1g/kg, v rozsahu 10 - 50g +- 1% z meranej hodnoty.</w:t>
            </w:r>
          </w:p>
        </w:tc>
      </w:tr>
    </w:tbl>
    <w:p w:rsidR="006B7319" w:rsidRPr="00B91914" w:rsidRDefault="006B7319" w:rsidP="00901C24">
      <w:pPr>
        <w:spacing w:after="0"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B91914" w:rsidRDefault="00B91914" w:rsidP="00901C24">
      <w:pPr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CC3678" w:rsidRDefault="00CC3678" w:rsidP="00CC3678">
      <w:pPr>
        <w:rPr>
          <w:rFonts w:ascii="Arial" w:hAnsi="Arial" w:cs="Arial"/>
          <w:sz w:val="20"/>
          <w:szCs w:val="20"/>
        </w:rPr>
      </w:pPr>
    </w:p>
    <w:sectPr w:rsidR="00CC3678" w:rsidSect="00404775">
      <w:headerReference w:type="default" r:id="rId7"/>
      <w:footerReference w:type="default" r:id="rId8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1B" w:rsidRDefault="009F1B1B" w:rsidP="008E1286">
      <w:pPr>
        <w:spacing w:after="0" w:line="240" w:lineRule="auto"/>
      </w:pPr>
      <w:r>
        <w:separator/>
      </w:r>
    </w:p>
  </w:endnote>
  <w:endnote w:type="continuationSeparator" w:id="0">
    <w:p w:rsidR="009F1B1B" w:rsidRDefault="009F1B1B" w:rsidP="008E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AF" w:rsidRDefault="007D0DAF" w:rsidP="007D0DAF">
    <w:pPr>
      <w:spacing w:after="0" w:line="360" w:lineRule="auto"/>
      <w:ind w:right="-108"/>
      <w:jc w:val="center"/>
    </w:pPr>
    <w:r>
      <w:t>______________________________________________________________________</w:t>
    </w:r>
  </w:p>
  <w:p w:rsidR="00A379CD" w:rsidRDefault="002F600D" w:rsidP="00C946A5">
    <w:pPr>
      <w:spacing w:after="0" w:line="360" w:lineRule="auto"/>
      <w:ind w:right="-108"/>
      <w:jc w:val="center"/>
    </w:pPr>
    <w:r>
      <w:t xml:space="preserve">Aktualizácia </w:t>
    </w:r>
    <w:r w:rsidR="00BC23A9">
      <w:t>4</w:t>
    </w:r>
    <w:r w:rsidR="00D27AE4">
      <w:t>.</w:t>
    </w:r>
    <w:r w:rsidR="00C125AE">
      <w:t>8</w:t>
    </w:r>
    <w:r w:rsidR="00CC3678">
      <w:t>.2021</w:t>
    </w:r>
    <w:r w:rsidR="00C5225E">
      <w:t xml:space="preserve"> v Jaslovských Bohuniciach, </w:t>
    </w:r>
    <w:sdt>
      <w:sdtPr>
        <w:id w:val="1200593224"/>
        <w:docPartObj>
          <w:docPartGallery w:val="Page Numbers (Bottom of Page)"/>
          <w:docPartUnique/>
        </w:docPartObj>
      </w:sdtPr>
      <w:sdtEndPr/>
      <w:sdtContent>
        <w:sdt>
          <w:sdtPr>
            <w:id w:val="-895508675"/>
            <w:docPartObj>
              <w:docPartGallery w:val="Page Numbers (Top of Page)"/>
              <w:docPartUnique/>
            </w:docPartObj>
          </w:sdtPr>
          <w:sdtEndPr/>
          <w:sdtContent>
            <w:r w:rsidR="00A379CD">
              <w:t xml:space="preserve">Strana </w:t>
            </w:r>
            <w:r w:rsidR="00A379CD">
              <w:rPr>
                <w:b/>
                <w:bCs/>
                <w:sz w:val="24"/>
                <w:szCs w:val="24"/>
              </w:rPr>
              <w:fldChar w:fldCharType="begin"/>
            </w:r>
            <w:r w:rsidR="00A379CD">
              <w:rPr>
                <w:b/>
                <w:bCs/>
              </w:rPr>
              <w:instrText>PAGE</w:instrText>
            </w:r>
            <w:r w:rsidR="00A379CD">
              <w:rPr>
                <w:b/>
                <w:bCs/>
                <w:sz w:val="24"/>
                <w:szCs w:val="24"/>
              </w:rPr>
              <w:fldChar w:fldCharType="separate"/>
            </w:r>
            <w:r w:rsidR="00C76307">
              <w:rPr>
                <w:b/>
                <w:bCs/>
                <w:noProof/>
              </w:rPr>
              <w:t>4</w:t>
            </w:r>
            <w:r w:rsidR="00A379CD">
              <w:rPr>
                <w:b/>
                <w:bCs/>
                <w:sz w:val="24"/>
                <w:szCs w:val="24"/>
              </w:rPr>
              <w:fldChar w:fldCharType="end"/>
            </w:r>
            <w:r w:rsidR="00A379CD">
              <w:t xml:space="preserve"> z </w:t>
            </w:r>
            <w:r w:rsidR="00A379CD">
              <w:rPr>
                <w:b/>
                <w:bCs/>
                <w:sz w:val="24"/>
                <w:szCs w:val="24"/>
              </w:rPr>
              <w:fldChar w:fldCharType="begin"/>
            </w:r>
            <w:r w:rsidR="00A379CD">
              <w:rPr>
                <w:b/>
                <w:bCs/>
              </w:rPr>
              <w:instrText>NUMPAGES</w:instrText>
            </w:r>
            <w:r w:rsidR="00A379CD">
              <w:rPr>
                <w:b/>
                <w:bCs/>
                <w:sz w:val="24"/>
                <w:szCs w:val="24"/>
              </w:rPr>
              <w:fldChar w:fldCharType="separate"/>
            </w:r>
            <w:r w:rsidR="00C76307">
              <w:rPr>
                <w:b/>
                <w:bCs/>
                <w:noProof/>
              </w:rPr>
              <w:t>4</w:t>
            </w:r>
            <w:r w:rsidR="00A379C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379CD" w:rsidRDefault="00A37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1B" w:rsidRDefault="009F1B1B" w:rsidP="008E1286">
      <w:pPr>
        <w:spacing w:after="0" w:line="240" w:lineRule="auto"/>
      </w:pPr>
      <w:r>
        <w:separator/>
      </w:r>
    </w:p>
  </w:footnote>
  <w:footnote w:type="continuationSeparator" w:id="0">
    <w:p w:rsidR="009F1B1B" w:rsidRDefault="009F1B1B" w:rsidP="008E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6" w:rsidRPr="00056387" w:rsidRDefault="004E78B9" w:rsidP="00D23D03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017943E" wp14:editId="739EDB52">
          <wp:simplePos x="0" y="0"/>
          <wp:positionH relativeFrom="column">
            <wp:posOffset>-146685</wp:posOffset>
          </wp:positionH>
          <wp:positionV relativeFrom="page">
            <wp:posOffset>424444</wp:posOffset>
          </wp:positionV>
          <wp:extent cx="5563870" cy="400685"/>
          <wp:effectExtent l="0" t="0" r="0" b="0"/>
          <wp:wrapTight wrapText="bothSides">
            <wp:wrapPolygon edited="0">
              <wp:start x="0" y="0"/>
              <wp:lineTo x="0" y="20539"/>
              <wp:lineTo x="21521" y="20539"/>
              <wp:lineTo x="21521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387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5AE">
      <w:t>2020</w:t>
    </w:r>
    <w:r w:rsidR="00CC3678" w:rsidRPr="00CC3678">
      <w:t>/0</w:t>
    </w:r>
    <w:r w:rsidR="00C125AE">
      <w:t>7650</w:t>
    </w:r>
  </w:p>
  <w:p w:rsidR="00963CC5" w:rsidRDefault="00C125AE" w:rsidP="009B27E3">
    <w:pPr>
      <w:pStyle w:val="Hlavika"/>
      <w:jc w:val="right"/>
    </w:pPr>
    <w:r w:rsidRPr="00C125AE">
      <w:t>EBO 10039 - Výmena prvkov a komponentov merania koncentrácie H3BO3</w:t>
    </w:r>
  </w:p>
  <w:p w:rsidR="00C868B5" w:rsidRDefault="00C868B5" w:rsidP="009B27E3">
    <w:pPr>
      <w:pStyle w:val="Hlavika"/>
      <w:jc w:val="right"/>
    </w:pPr>
    <w:r>
      <w:t>Príloha č. 1 k Technickej špecifikácii</w:t>
    </w:r>
  </w:p>
  <w:p w:rsidR="00404775" w:rsidRPr="00056387" w:rsidRDefault="00404775" w:rsidP="009B27E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E57"/>
    <w:multiLevelType w:val="hybridMultilevel"/>
    <w:tmpl w:val="D77077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D0E57"/>
    <w:multiLevelType w:val="hybridMultilevel"/>
    <w:tmpl w:val="8A6022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02F7"/>
    <w:multiLevelType w:val="hybridMultilevel"/>
    <w:tmpl w:val="49FE2548"/>
    <w:lvl w:ilvl="0" w:tplc="961A1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DE7"/>
    <w:multiLevelType w:val="hybridMultilevel"/>
    <w:tmpl w:val="8E66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46A"/>
    <w:multiLevelType w:val="hybridMultilevel"/>
    <w:tmpl w:val="97D42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AB8"/>
    <w:multiLevelType w:val="hybridMultilevel"/>
    <w:tmpl w:val="02FCD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03FF"/>
    <w:multiLevelType w:val="hybridMultilevel"/>
    <w:tmpl w:val="15FA9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7AE0"/>
    <w:multiLevelType w:val="hybridMultilevel"/>
    <w:tmpl w:val="85ACA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5F2A"/>
    <w:multiLevelType w:val="hybridMultilevel"/>
    <w:tmpl w:val="1C962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5173D"/>
    <w:multiLevelType w:val="hybridMultilevel"/>
    <w:tmpl w:val="15FA9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30ED6"/>
    <w:multiLevelType w:val="hybridMultilevel"/>
    <w:tmpl w:val="76F869FA"/>
    <w:lvl w:ilvl="0" w:tplc="2F18F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4CD3"/>
    <w:multiLevelType w:val="hybridMultilevel"/>
    <w:tmpl w:val="BB8A4FEA"/>
    <w:lvl w:ilvl="0" w:tplc="68C49B9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AB13C3"/>
    <w:multiLevelType w:val="hybridMultilevel"/>
    <w:tmpl w:val="08CE3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461DC"/>
    <w:multiLevelType w:val="hybridMultilevel"/>
    <w:tmpl w:val="18085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74607"/>
    <w:multiLevelType w:val="hybridMultilevel"/>
    <w:tmpl w:val="046043C0"/>
    <w:lvl w:ilvl="0" w:tplc="72DAA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C0354"/>
    <w:multiLevelType w:val="hybridMultilevel"/>
    <w:tmpl w:val="9A32F3F6"/>
    <w:lvl w:ilvl="0" w:tplc="797E7B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8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FE"/>
    <w:rsid w:val="00011870"/>
    <w:rsid w:val="00024798"/>
    <w:rsid w:val="0003371A"/>
    <w:rsid w:val="00041CC5"/>
    <w:rsid w:val="00043379"/>
    <w:rsid w:val="000523FE"/>
    <w:rsid w:val="00056387"/>
    <w:rsid w:val="00057FB4"/>
    <w:rsid w:val="00060E8F"/>
    <w:rsid w:val="00066E4F"/>
    <w:rsid w:val="00081E3F"/>
    <w:rsid w:val="000939E5"/>
    <w:rsid w:val="000F0C27"/>
    <w:rsid w:val="00100480"/>
    <w:rsid w:val="001015FC"/>
    <w:rsid w:val="00120936"/>
    <w:rsid w:val="00126407"/>
    <w:rsid w:val="00132331"/>
    <w:rsid w:val="00136608"/>
    <w:rsid w:val="00171CEC"/>
    <w:rsid w:val="001A0267"/>
    <w:rsid w:val="001A4A4E"/>
    <w:rsid w:val="001A7F01"/>
    <w:rsid w:val="001B1F57"/>
    <w:rsid w:val="001B351F"/>
    <w:rsid w:val="001C2B77"/>
    <w:rsid w:val="001C3932"/>
    <w:rsid w:val="001D7939"/>
    <w:rsid w:val="001E0FA9"/>
    <w:rsid w:val="001E3FFF"/>
    <w:rsid w:val="001E6279"/>
    <w:rsid w:val="002060AC"/>
    <w:rsid w:val="002153C7"/>
    <w:rsid w:val="00225DA5"/>
    <w:rsid w:val="0022699C"/>
    <w:rsid w:val="0023234E"/>
    <w:rsid w:val="00241CDF"/>
    <w:rsid w:val="00254B83"/>
    <w:rsid w:val="00261009"/>
    <w:rsid w:val="0027322E"/>
    <w:rsid w:val="00284D91"/>
    <w:rsid w:val="002949EB"/>
    <w:rsid w:val="00295318"/>
    <w:rsid w:val="002B42FD"/>
    <w:rsid w:val="002C2E93"/>
    <w:rsid w:val="002C33F7"/>
    <w:rsid w:val="002C4977"/>
    <w:rsid w:val="002E17BB"/>
    <w:rsid w:val="002F600D"/>
    <w:rsid w:val="002F6A24"/>
    <w:rsid w:val="0031272D"/>
    <w:rsid w:val="00312F89"/>
    <w:rsid w:val="00324569"/>
    <w:rsid w:val="00330C63"/>
    <w:rsid w:val="00334612"/>
    <w:rsid w:val="00383E56"/>
    <w:rsid w:val="00395F43"/>
    <w:rsid w:val="003A135F"/>
    <w:rsid w:val="003A167C"/>
    <w:rsid w:val="003A63D6"/>
    <w:rsid w:val="003C5875"/>
    <w:rsid w:val="003D255D"/>
    <w:rsid w:val="003D5EF2"/>
    <w:rsid w:val="00404775"/>
    <w:rsid w:val="00406645"/>
    <w:rsid w:val="0041583F"/>
    <w:rsid w:val="00440C01"/>
    <w:rsid w:val="00447E5D"/>
    <w:rsid w:val="004503A1"/>
    <w:rsid w:val="00453468"/>
    <w:rsid w:val="0045422A"/>
    <w:rsid w:val="00455969"/>
    <w:rsid w:val="004663F1"/>
    <w:rsid w:val="00471680"/>
    <w:rsid w:val="00482AFC"/>
    <w:rsid w:val="004912E5"/>
    <w:rsid w:val="004A41D4"/>
    <w:rsid w:val="004A5E0C"/>
    <w:rsid w:val="004D0E95"/>
    <w:rsid w:val="004D4941"/>
    <w:rsid w:val="004E78B9"/>
    <w:rsid w:val="00512AC9"/>
    <w:rsid w:val="00515B51"/>
    <w:rsid w:val="005167CB"/>
    <w:rsid w:val="0051716F"/>
    <w:rsid w:val="00533576"/>
    <w:rsid w:val="00550052"/>
    <w:rsid w:val="00562EE3"/>
    <w:rsid w:val="00567C5A"/>
    <w:rsid w:val="00571335"/>
    <w:rsid w:val="00574989"/>
    <w:rsid w:val="00577FDC"/>
    <w:rsid w:val="005914CC"/>
    <w:rsid w:val="00593727"/>
    <w:rsid w:val="0059473F"/>
    <w:rsid w:val="00597402"/>
    <w:rsid w:val="005A5BE3"/>
    <w:rsid w:val="005A7AE8"/>
    <w:rsid w:val="005B4425"/>
    <w:rsid w:val="005B6FC6"/>
    <w:rsid w:val="005C253A"/>
    <w:rsid w:val="005C288A"/>
    <w:rsid w:val="005C68EF"/>
    <w:rsid w:val="005D0C1D"/>
    <w:rsid w:val="005D5AE5"/>
    <w:rsid w:val="005D693D"/>
    <w:rsid w:val="005E380B"/>
    <w:rsid w:val="005F0192"/>
    <w:rsid w:val="005F1D8A"/>
    <w:rsid w:val="00605C25"/>
    <w:rsid w:val="0061000A"/>
    <w:rsid w:val="00624DD8"/>
    <w:rsid w:val="00630317"/>
    <w:rsid w:val="0065765D"/>
    <w:rsid w:val="00660EFC"/>
    <w:rsid w:val="00670E71"/>
    <w:rsid w:val="006811C3"/>
    <w:rsid w:val="00690DCD"/>
    <w:rsid w:val="00693B5B"/>
    <w:rsid w:val="0069465E"/>
    <w:rsid w:val="00694770"/>
    <w:rsid w:val="006A1B54"/>
    <w:rsid w:val="006A24F7"/>
    <w:rsid w:val="006A6B85"/>
    <w:rsid w:val="006A7076"/>
    <w:rsid w:val="006B7319"/>
    <w:rsid w:val="006C6965"/>
    <w:rsid w:val="006D0395"/>
    <w:rsid w:val="006E09A6"/>
    <w:rsid w:val="006E68B0"/>
    <w:rsid w:val="006F061D"/>
    <w:rsid w:val="006F2F7D"/>
    <w:rsid w:val="006F67F2"/>
    <w:rsid w:val="00720536"/>
    <w:rsid w:val="007252EB"/>
    <w:rsid w:val="0074598A"/>
    <w:rsid w:val="00745F94"/>
    <w:rsid w:val="00780DE6"/>
    <w:rsid w:val="00794E98"/>
    <w:rsid w:val="007A0FCF"/>
    <w:rsid w:val="007A3A2B"/>
    <w:rsid w:val="007A68F1"/>
    <w:rsid w:val="007B3DE7"/>
    <w:rsid w:val="007B561F"/>
    <w:rsid w:val="007B7DA8"/>
    <w:rsid w:val="007D0DAF"/>
    <w:rsid w:val="007F2DBB"/>
    <w:rsid w:val="008105B5"/>
    <w:rsid w:val="00823A17"/>
    <w:rsid w:val="008414A5"/>
    <w:rsid w:val="00851748"/>
    <w:rsid w:val="0085353C"/>
    <w:rsid w:val="008543C1"/>
    <w:rsid w:val="00856A21"/>
    <w:rsid w:val="00857CE9"/>
    <w:rsid w:val="008651D1"/>
    <w:rsid w:val="008808A8"/>
    <w:rsid w:val="00882FAC"/>
    <w:rsid w:val="0088401E"/>
    <w:rsid w:val="008921EE"/>
    <w:rsid w:val="00892C15"/>
    <w:rsid w:val="00894CFF"/>
    <w:rsid w:val="008A22B2"/>
    <w:rsid w:val="008A281B"/>
    <w:rsid w:val="008A5A5E"/>
    <w:rsid w:val="008D317A"/>
    <w:rsid w:val="008D66D0"/>
    <w:rsid w:val="008E1286"/>
    <w:rsid w:val="008E2B14"/>
    <w:rsid w:val="00901C24"/>
    <w:rsid w:val="00903350"/>
    <w:rsid w:val="00917B53"/>
    <w:rsid w:val="00930B20"/>
    <w:rsid w:val="009421DA"/>
    <w:rsid w:val="00943806"/>
    <w:rsid w:val="009458DF"/>
    <w:rsid w:val="0095154D"/>
    <w:rsid w:val="00951DBD"/>
    <w:rsid w:val="0096072B"/>
    <w:rsid w:val="00963CC5"/>
    <w:rsid w:val="00981CD2"/>
    <w:rsid w:val="00987534"/>
    <w:rsid w:val="009903A4"/>
    <w:rsid w:val="009B06EB"/>
    <w:rsid w:val="009B27E3"/>
    <w:rsid w:val="009B65B2"/>
    <w:rsid w:val="009E2B66"/>
    <w:rsid w:val="009F0314"/>
    <w:rsid w:val="009F192E"/>
    <w:rsid w:val="009F1B1B"/>
    <w:rsid w:val="009F5E51"/>
    <w:rsid w:val="00A05E97"/>
    <w:rsid w:val="00A0618A"/>
    <w:rsid w:val="00A21A17"/>
    <w:rsid w:val="00A26A79"/>
    <w:rsid w:val="00A26DCF"/>
    <w:rsid w:val="00A379CD"/>
    <w:rsid w:val="00A51CD3"/>
    <w:rsid w:val="00A75577"/>
    <w:rsid w:val="00A83974"/>
    <w:rsid w:val="00A84DB1"/>
    <w:rsid w:val="00A862E9"/>
    <w:rsid w:val="00A9138C"/>
    <w:rsid w:val="00AA4FFD"/>
    <w:rsid w:val="00AB403C"/>
    <w:rsid w:val="00AD307F"/>
    <w:rsid w:val="00AD50E1"/>
    <w:rsid w:val="00AF7CCA"/>
    <w:rsid w:val="00B01552"/>
    <w:rsid w:val="00B03660"/>
    <w:rsid w:val="00B075EF"/>
    <w:rsid w:val="00B14181"/>
    <w:rsid w:val="00B21E08"/>
    <w:rsid w:val="00B24E9A"/>
    <w:rsid w:val="00B307F2"/>
    <w:rsid w:val="00B36630"/>
    <w:rsid w:val="00B45E1B"/>
    <w:rsid w:val="00B46781"/>
    <w:rsid w:val="00B5039B"/>
    <w:rsid w:val="00B60717"/>
    <w:rsid w:val="00B623E3"/>
    <w:rsid w:val="00B64F16"/>
    <w:rsid w:val="00B658A6"/>
    <w:rsid w:val="00B72966"/>
    <w:rsid w:val="00B74563"/>
    <w:rsid w:val="00B91914"/>
    <w:rsid w:val="00BB1D0B"/>
    <w:rsid w:val="00BC0C2E"/>
    <w:rsid w:val="00BC23A9"/>
    <w:rsid w:val="00BD4364"/>
    <w:rsid w:val="00BE5DDF"/>
    <w:rsid w:val="00C125AE"/>
    <w:rsid w:val="00C161B3"/>
    <w:rsid w:val="00C32493"/>
    <w:rsid w:val="00C458F6"/>
    <w:rsid w:val="00C50207"/>
    <w:rsid w:val="00C5225E"/>
    <w:rsid w:val="00C7020E"/>
    <w:rsid w:val="00C723D2"/>
    <w:rsid w:val="00C76307"/>
    <w:rsid w:val="00C868B5"/>
    <w:rsid w:val="00C9298A"/>
    <w:rsid w:val="00C946A5"/>
    <w:rsid w:val="00CA5CED"/>
    <w:rsid w:val="00CA7B57"/>
    <w:rsid w:val="00CB320C"/>
    <w:rsid w:val="00CC2700"/>
    <w:rsid w:val="00CC3678"/>
    <w:rsid w:val="00CC36F2"/>
    <w:rsid w:val="00CC5F96"/>
    <w:rsid w:val="00CD12B0"/>
    <w:rsid w:val="00CD69D9"/>
    <w:rsid w:val="00CE2A99"/>
    <w:rsid w:val="00CF6422"/>
    <w:rsid w:val="00D035EA"/>
    <w:rsid w:val="00D04310"/>
    <w:rsid w:val="00D140B8"/>
    <w:rsid w:val="00D15CDD"/>
    <w:rsid w:val="00D17771"/>
    <w:rsid w:val="00D23D03"/>
    <w:rsid w:val="00D27AE4"/>
    <w:rsid w:val="00D3074A"/>
    <w:rsid w:val="00D361DD"/>
    <w:rsid w:val="00D522E4"/>
    <w:rsid w:val="00D55718"/>
    <w:rsid w:val="00D55FC1"/>
    <w:rsid w:val="00D61887"/>
    <w:rsid w:val="00D6749F"/>
    <w:rsid w:val="00D67E6D"/>
    <w:rsid w:val="00D70B6A"/>
    <w:rsid w:val="00D75B46"/>
    <w:rsid w:val="00D8244C"/>
    <w:rsid w:val="00D96904"/>
    <w:rsid w:val="00D9737F"/>
    <w:rsid w:val="00DA35ED"/>
    <w:rsid w:val="00DB2033"/>
    <w:rsid w:val="00DB3515"/>
    <w:rsid w:val="00DC185D"/>
    <w:rsid w:val="00DD03FF"/>
    <w:rsid w:val="00DD17AE"/>
    <w:rsid w:val="00DE7906"/>
    <w:rsid w:val="00DF0753"/>
    <w:rsid w:val="00DF6509"/>
    <w:rsid w:val="00E06934"/>
    <w:rsid w:val="00E166AB"/>
    <w:rsid w:val="00E305A0"/>
    <w:rsid w:val="00E400B8"/>
    <w:rsid w:val="00E42314"/>
    <w:rsid w:val="00E52B5D"/>
    <w:rsid w:val="00E63D47"/>
    <w:rsid w:val="00E769F7"/>
    <w:rsid w:val="00E949FA"/>
    <w:rsid w:val="00E95DC1"/>
    <w:rsid w:val="00EA4681"/>
    <w:rsid w:val="00EB4DEE"/>
    <w:rsid w:val="00EB6429"/>
    <w:rsid w:val="00ED2D07"/>
    <w:rsid w:val="00ED3782"/>
    <w:rsid w:val="00EF0B93"/>
    <w:rsid w:val="00EF6B22"/>
    <w:rsid w:val="00F00523"/>
    <w:rsid w:val="00F01D46"/>
    <w:rsid w:val="00F035CC"/>
    <w:rsid w:val="00F047A2"/>
    <w:rsid w:val="00F24384"/>
    <w:rsid w:val="00F36CC9"/>
    <w:rsid w:val="00F57F36"/>
    <w:rsid w:val="00F62618"/>
    <w:rsid w:val="00F80FB7"/>
    <w:rsid w:val="00F85875"/>
    <w:rsid w:val="00F9496D"/>
    <w:rsid w:val="00F97999"/>
    <w:rsid w:val="00FA306C"/>
    <w:rsid w:val="00FA41BE"/>
    <w:rsid w:val="00FA4641"/>
    <w:rsid w:val="00FB4C90"/>
    <w:rsid w:val="00FD6CEA"/>
    <w:rsid w:val="00FF2CE3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95304-350E-4590-B512-73609C7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0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005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286"/>
  </w:style>
  <w:style w:type="paragraph" w:styleId="Pta">
    <w:name w:val="footer"/>
    <w:basedOn w:val="Normlny"/>
    <w:link w:val="PtaChar"/>
    <w:uiPriority w:val="99"/>
    <w:unhideWhenUsed/>
    <w:rsid w:val="008E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286"/>
  </w:style>
  <w:style w:type="paragraph" w:customStyle="1" w:styleId="CharChar">
    <w:name w:val="Char Char"/>
    <w:basedOn w:val="Normlny"/>
    <w:rsid w:val="00BB1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basedOn w:val="Normlny"/>
    <w:rsid w:val="00857CE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7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2">
    <w:name w:val="Tabulka 2"/>
    <w:rsid w:val="00EF6B22"/>
    <w:pPr>
      <w:spacing w:before="20" w:after="20" w:line="240" w:lineRule="auto"/>
    </w:pPr>
    <w:rPr>
      <w:rFonts w:ascii="Arial" w:eastAsia="Times New Roman" w:hAnsi="Arial" w:cs="Times New Roman"/>
      <w:noProof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A3A2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E4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F0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rsid w:val="00F01D46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Košlabová Natália</cp:lastModifiedBy>
  <cp:revision>65</cp:revision>
  <dcterms:created xsi:type="dcterms:W3CDTF">2020-07-21T11:45:00Z</dcterms:created>
  <dcterms:modified xsi:type="dcterms:W3CDTF">2021-08-04T07:18:00Z</dcterms:modified>
</cp:coreProperties>
</file>